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72DB3C45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827046">
        <w:rPr>
          <w:rFonts w:ascii="Times New Roman" w:hAnsi="Times New Roman"/>
          <w:b/>
          <w:bCs/>
          <w:sz w:val="28"/>
          <w:szCs w:val="28"/>
        </w:rPr>
        <w:t>3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</w:t>
      </w:r>
      <w:proofErr w:type="gramStart"/>
      <w:r w:rsidR="005F12C2">
        <w:rPr>
          <w:rFonts w:ascii="Times New Roman" w:hAnsi="Times New Roman"/>
        </w:rPr>
        <w:t>ze</w:t>
      </w:r>
      <w:proofErr w:type="gramEnd"/>
      <w:r w:rsidR="005F12C2">
        <w:rPr>
          <w:rFonts w:ascii="Times New Roman" w:hAnsi="Times New Roman"/>
        </w:rPr>
        <w:t xml:space="preserve">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</w:t>
      </w:r>
      <w:proofErr w:type="gramStart"/>
      <w:r w:rsidR="00761E31" w:rsidRPr="00984DA2">
        <w:rPr>
          <w:rFonts w:ascii="Times New Roman" w:hAnsi="Times New Roman"/>
        </w:rPr>
        <w:t>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proofErr w:type="gramEnd"/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376D6DB4" w14:textId="77777777" w:rsidR="000D4640" w:rsidRPr="00FB3C0D" w:rsidRDefault="000D4640" w:rsidP="000D4640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proofErr w:type="spellStart"/>
      <w:r>
        <w:rPr>
          <w:rFonts w:ascii="Times New Roman" w:hAnsi="Times New Roman"/>
          <w:b/>
          <w:sz w:val="24"/>
          <w:szCs w:val="26"/>
        </w:rPr>
        <w:t>LiSS</w:t>
      </w:r>
      <w:proofErr w:type="spellEnd"/>
      <w:r>
        <w:rPr>
          <w:rFonts w:ascii="Times New Roman" w:hAnsi="Times New Roman"/>
          <w:b/>
          <w:sz w:val="24"/>
          <w:szCs w:val="26"/>
        </w:rPr>
        <w:t xml:space="preserve"> Group, s.r.o.</w:t>
      </w:r>
    </w:p>
    <w:p w14:paraId="7C165200" w14:textId="77777777" w:rsidR="000D4640" w:rsidRPr="00E64203" w:rsidRDefault="000D4640" w:rsidP="000D4640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Kolmá 802/20, 36001 Karlovy Vary</w:t>
      </w:r>
    </w:p>
    <w:p w14:paraId="7F54D25E" w14:textId="77777777" w:rsidR="000D4640" w:rsidRDefault="000D4640" w:rsidP="000D4640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 xml:space="preserve">Alexej </w:t>
      </w:r>
      <w:proofErr w:type="spellStart"/>
      <w:r>
        <w:rPr>
          <w:rFonts w:ascii="Times New Roman" w:hAnsi="Times New Roman"/>
          <w:sz w:val="24"/>
          <w:szCs w:val="26"/>
        </w:rPr>
        <w:t>Licharev</w:t>
      </w:r>
      <w:proofErr w:type="spellEnd"/>
    </w:p>
    <w:p w14:paraId="74175077" w14:textId="77777777" w:rsidR="000D4640" w:rsidRPr="00E64203" w:rsidRDefault="000D4640" w:rsidP="000D4640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  <w:t>25243870</w:t>
      </w:r>
    </w:p>
    <w:p w14:paraId="3D76C9DC" w14:textId="77777777" w:rsidR="000D4640" w:rsidRDefault="000D4640" w:rsidP="000D4640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proofErr w:type="spellStart"/>
      <w:r>
        <w:rPr>
          <w:rFonts w:ascii="Times New Roman" w:hAnsi="Times New Roman"/>
          <w:sz w:val="24"/>
          <w:szCs w:val="26"/>
        </w:rPr>
        <w:t>Raiffeisenbank</w:t>
      </w:r>
      <w:proofErr w:type="spellEnd"/>
      <w:r>
        <w:rPr>
          <w:rFonts w:ascii="Times New Roman" w:hAnsi="Times New Roman"/>
          <w:sz w:val="24"/>
          <w:szCs w:val="26"/>
        </w:rPr>
        <w:t>, a.s.</w:t>
      </w:r>
    </w:p>
    <w:p w14:paraId="112AD4AB" w14:textId="77777777" w:rsidR="000D4640" w:rsidRDefault="000D4640" w:rsidP="000D464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1093016435/5500</w:t>
      </w:r>
    </w:p>
    <w:p w14:paraId="332D4C22" w14:textId="77777777" w:rsidR="000D4640" w:rsidRDefault="000D4640" w:rsidP="000D4640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Alexej </w:t>
      </w:r>
      <w:proofErr w:type="spellStart"/>
      <w:r>
        <w:rPr>
          <w:rFonts w:ascii="Times New Roman" w:hAnsi="Times New Roman"/>
          <w:sz w:val="24"/>
          <w:szCs w:val="26"/>
        </w:rPr>
        <w:t>Licharev</w:t>
      </w:r>
      <w:proofErr w:type="spellEnd"/>
    </w:p>
    <w:p w14:paraId="6BCE8E0A" w14:textId="77777777" w:rsidR="000D4640" w:rsidRDefault="000D4640" w:rsidP="000D4640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(dále jen „ubytovatel“)</w:t>
      </w:r>
    </w:p>
    <w:p w14:paraId="6E2BFFBB" w14:textId="77777777" w:rsidR="000D4640" w:rsidRDefault="000D4640" w:rsidP="000D4640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 xml:space="preserve">. </w:t>
      </w:r>
      <w:proofErr w:type="gramStart"/>
      <w:r w:rsidR="00C01D0A">
        <w:rPr>
          <w:rFonts w:ascii="Times New Roman" w:hAnsi="Times New Roman"/>
        </w:rPr>
        <w:t>zákona</w:t>
      </w:r>
      <w:proofErr w:type="gramEnd"/>
      <w:r w:rsidR="00C01D0A">
        <w:rPr>
          <w:rFonts w:ascii="Times New Roman" w:hAnsi="Times New Roman"/>
        </w:rPr>
        <w:t xml:space="preserve"> č. 65/2022 Sb., o některých opatřeních v souvislosti s ozbrojeným konfliktem na území Ukrajiny vyvolanými invazí vojsk Ruské federace, ve znění pozdějších předpisů</w:t>
      </w:r>
    </w:p>
    <w:p w14:paraId="10FDD3FC" w14:textId="111E8B67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827046">
        <w:rPr>
          <w:rFonts w:ascii="Times New Roman" w:hAnsi="Times New Roman"/>
          <w:b/>
        </w:rPr>
        <w:t>3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136554A6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827046">
        <w:rPr>
          <w:rFonts w:ascii="Times New Roman" w:hAnsi="Times New Roman"/>
        </w:rPr>
        <w:t>3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3306982F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proofErr w:type="gramStart"/>
      <w:r w:rsidR="00F327A7" w:rsidRPr="00F327A7">
        <w:rPr>
          <w:rFonts w:ascii="Times New Roman" w:hAnsi="Times New Roman"/>
          <w:b/>
        </w:rPr>
        <w:t>31.</w:t>
      </w:r>
      <w:r w:rsidR="00D85707">
        <w:rPr>
          <w:rFonts w:ascii="Times New Roman" w:hAnsi="Times New Roman"/>
          <w:b/>
        </w:rPr>
        <w:t>12</w:t>
      </w:r>
      <w:r w:rsidR="00F327A7" w:rsidRPr="00F327A7">
        <w:rPr>
          <w:rFonts w:ascii="Times New Roman" w:hAnsi="Times New Roman"/>
          <w:b/>
        </w:rPr>
        <w:t>.</w:t>
      </w:r>
      <w:r w:rsidR="009E65EB" w:rsidRPr="00F327A7">
        <w:rPr>
          <w:rFonts w:ascii="Times New Roman" w:hAnsi="Times New Roman"/>
          <w:b/>
        </w:rPr>
        <w:t>202</w:t>
      </w:r>
      <w:r w:rsidR="008C24E8" w:rsidRPr="00F327A7">
        <w:rPr>
          <w:rFonts w:ascii="Times New Roman" w:hAnsi="Times New Roman"/>
          <w:b/>
        </w:rPr>
        <w:t>3</w:t>
      </w:r>
      <w:proofErr w:type="gramEnd"/>
      <w:r w:rsidR="009E65EB">
        <w:rPr>
          <w:rFonts w:ascii="Times New Roman" w:hAnsi="Times New Roman"/>
        </w:rPr>
        <w:t>.</w:t>
      </w:r>
    </w:p>
    <w:p w14:paraId="54E79A6B" w14:textId="66B2C208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827046">
        <w:rPr>
          <w:rFonts w:ascii="Times New Roman" w:hAnsi="Times New Roman"/>
        </w:rPr>
        <w:t>3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5E274E0C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827046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125C26B7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82704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nabývá platnosti podpisem smluvních stran, účinnosti dne </w:t>
      </w:r>
      <w:proofErr w:type="gramStart"/>
      <w:r>
        <w:rPr>
          <w:rFonts w:ascii="Times New Roman" w:hAnsi="Times New Roman"/>
        </w:rPr>
        <w:t>01.01.2023</w:t>
      </w:r>
      <w:proofErr w:type="gramEnd"/>
      <w:r>
        <w:rPr>
          <w:rFonts w:ascii="Times New Roman" w:hAnsi="Times New Roman"/>
        </w:rPr>
        <w:t>.</w:t>
      </w:r>
    </w:p>
    <w:p w14:paraId="7CC097FF" w14:textId="3E43A449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82704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je vyhotoven ve třech stejnopisech, z nichž ubytovatel obdrží jeden a objednatel dva stejnopisy. Každý stejnopis má právní sílu originálu. </w:t>
      </w:r>
    </w:p>
    <w:p w14:paraId="46895769" w14:textId="115B1BB2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827046">
        <w:rPr>
          <w:rFonts w:ascii="Times New Roman" w:hAnsi="Times New Roman"/>
        </w:rPr>
        <w:t>3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6D45C290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F327A7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</w:t>
      </w:r>
      <w:bookmarkStart w:id="0" w:name="_GoBack"/>
      <w:bookmarkEnd w:id="0"/>
      <w:r>
        <w:rPr>
          <w:rFonts w:ascii="Times New Roman" w:hAnsi="Times New Roman"/>
        </w:rPr>
        <w:t>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23D470A4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F327A7">
        <w:rPr>
          <w:rFonts w:ascii="Times New Roman" w:hAnsi="Times New Roman"/>
        </w:rPr>
        <w:t xml:space="preserve"> Ing. </w:t>
      </w:r>
      <w:r w:rsidR="000D4640">
        <w:rPr>
          <w:rFonts w:ascii="Times New Roman" w:hAnsi="Times New Roman"/>
        </w:rPr>
        <w:t>Brtková</w:t>
      </w:r>
    </w:p>
    <w:p w14:paraId="30000FFE" w14:textId="6E13114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89FD18" w14:textId="60C47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A069AB" w14:textId="52A0008A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F4191DC" w14:textId="005FF0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B8CDB7C" w14:textId="48635905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5AFBB2" w14:textId="406083F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B2D9D8" w14:textId="6C8C0991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357F490" w14:textId="1AEB4CC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ED5B76" w14:textId="07CBA35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A44F687" w14:textId="5E6711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30A20F2" w14:textId="3AAFE44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8D4BEB4" w14:textId="0E90B396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463843" w14:textId="1FD0107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C135336" w14:textId="15B9C46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B13DD4" w14:textId="01A82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B772F09" w14:textId="0882D6B7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73D1AC" w14:textId="70B7451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1E2FFB7" w14:textId="47CAB93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2F9EC3" w14:textId="5FDE6DB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235E71" w14:textId="1316E96F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105F0AF" w14:textId="2D84473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6AD6D23" w14:textId="57EC681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807225D" w14:textId="77777777" w:rsidR="00A31CF9" w:rsidRPr="00556F5D" w:rsidRDefault="00A31CF9" w:rsidP="00A31CF9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44BE2F9D" w14:textId="77777777" w:rsidR="00A31CF9" w:rsidRPr="008667E6" w:rsidRDefault="00A31CF9" w:rsidP="00A31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lastRenderedPageBreak/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F356E2E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4FD0B3E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1491781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2BB7AF91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40D71888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16D4DE7E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7F684D61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5F6D78A0" w14:textId="77777777" w:rsidR="00A31CF9" w:rsidRDefault="00A31CF9" w:rsidP="00A31CF9">
      <w:pPr>
        <w:rPr>
          <w:rFonts w:ascii="Times New Roman" w:hAnsi="Times New Roman"/>
          <w:sz w:val="28"/>
          <w:szCs w:val="28"/>
        </w:rPr>
      </w:pPr>
    </w:p>
    <w:p w14:paraId="05B96BAB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56434EC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F053E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52890E9D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276DF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7410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742E6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8BE4DB7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7B84F5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4C922C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534852D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189F9399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3CEE079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362F894" w14:textId="12A6B9E6" w:rsidR="00A31CF9" w:rsidRPr="00984DA2" w:rsidRDefault="00A31CF9" w:rsidP="00A31CF9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sectPr w:rsidR="00A31CF9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195866EA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82704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82704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827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827046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2ACA8F00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827046">
      <w:rPr>
        <w:rFonts w:ascii="Times New Roman" w:hAnsi="Times New Roman"/>
        <w:b/>
        <w:bCs/>
        <w:color w:val="595959" w:themeColor="text1" w:themeTint="A6"/>
        <w:sz w:val="20"/>
        <w:szCs w:val="20"/>
      </w:rPr>
      <w:t>3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64161EA5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0D4640">
      <w:rPr>
        <w:rFonts w:ascii="Times New Roman" w:hAnsi="Times New Roman"/>
        <w:b/>
        <w:bCs/>
        <w:color w:val="595959" w:themeColor="text1" w:themeTint="A6"/>
        <w:sz w:val="20"/>
        <w:szCs w:val="20"/>
      </w:rPr>
      <w:t>2314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</w:t>
    </w:r>
    <w:r w:rsidR="00827046">
      <w:rPr>
        <w:rFonts w:ascii="Times New Roman" w:hAnsi="Times New Roman"/>
        <w:b/>
        <w:bCs/>
        <w:color w:val="595959" w:themeColor="text1" w:themeTint="A6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0D4640"/>
    <w:rsid w:val="00101996"/>
    <w:rsid w:val="00106EE0"/>
    <w:rsid w:val="001270F3"/>
    <w:rsid w:val="00152A45"/>
    <w:rsid w:val="00165F2A"/>
    <w:rsid w:val="001B435B"/>
    <w:rsid w:val="00211AD8"/>
    <w:rsid w:val="002211E7"/>
    <w:rsid w:val="002333D9"/>
    <w:rsid w:val="002539C0"/>
    <w:rsid w:val="00253C82"/>
    <w:rsid w:val="002837ED"/>
    <w:rsid w:val="00293A2D"/>
    <w:rsid w:val="002B3B31"/>
    <w:rsid w:val="002C1083"/>
    <w:rsid w:val="00313763"/>
    <w:rsid w:val="0031560C"/>
    <w:rsid w:val="003358D7"/>
    <w:rsid w:val="00387BF9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72552"/>
    <w:rsid w:val="004A2113"/>
    <w:rsid w:val="004A4D60"/>
    <w:rsid w:val="004B7848"/>
    <w:rsid w:val="004C1236"/>
    <w:rsid w:val="004C3DD0"/>
    <w:rsid w:val="004D2C7F"/>
    <w:rsid w:val="004D3323"/>
    <w:rsid w:val="004F6D43"/>
    <w:rsid w:val="0051033C"/>
    <w:rsid w:val="0051092B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60FA0"/>
    <w:rsid w:val="00670128"/>
    <w:rsid w:val="006714F6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D2AD1"/>
    <w:rsid w:val="00805A42"/>
    <w:rsid w:val="00827046"/>
    <w:rsid w:val="008447CE"/>
    <w:rsid w:val="008507D8"/>
    <w:rsid w:val="008C24E8"/>
    <w:rsid w:val="008C4A52"/>
    <w:rsid w:val="008D2310"/>
    <w:rsid w:val="008E62DB"/>
    <w:rsid w:val="009000E5"/>
    <w:rsid w:val="00946C6A"/>
    <w:rsid w:val="00947D49"/>
    <w:rsid w:val="009629F2"/>
    <w:rsid w:val="00970E6E"/>
    <w:rsid w:val="00984DA2"/>
    <w:rsid w:val="009950C5"/>
    <w:rsid w:val="009C49BB"/>
    <w:rsid w:val="009E65EB"/>
    <w:rsid w:val="009E7FE8"/>
    <w:rsid w:val="009F6476"/>
    <w:rsid w:val="00A31CF9"/>
    <w:rsid w:val="00A47795"/>
    <w:rsid w:val="00A642E6"/>
    <w:rsid w:val="00AB17E1"/>
    <w:rsid w:val="00AC5CF0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C3265"/>
    <w:rsid w:val="00BE53D6"/>
    <w:rsid w:val="00C01D0A"/>
    <w:rsid w:val="00C14D0B"/>
    <w:rsid w:val="00C54F41"/>
    <w:rsid w:val="00C56218"/>
    <w:rsid w:val="00C61457"/>
    <w:rsid w:val="00C65DFF"/>
    <w:rsid w:val="00C70C72"/>
    <w:rsid w:val="00C90477"/>
    <w:rsid w:val="00CC4B33"/>
    <w:rsid w:val="00CD2839"/>
    <w:rsid w:val="00CD4A9A"/>
    <w:rsid w:val="00CF459A"/>
    <w:rsid w:val="00CF7AAE"/>
    <w:rsid w:val="00D23A95"/>
    <w:rsid w:val="00D32BA4"/>
    <w:rsid w:val="00D85707"/>
    <w:rsid w:val="00DB11B9"/>
    <w:rsid w:val="00DD394C"/>
    <w:rsid w:val="00DF0826"/>
    <w:rsid w:val="00E24AEE"/>
    <w:rsid w:val="00E4632F"/>
    <w:rsid w:val="00E7260A"/>
    <w:rsid w:val="00E776D5"/>
    <w:rsid w:val="00E932E8"/>
    <w:rsid w:val="00ED3581"/>
    <w:rsid w:val="00F21D84"/>
    <w:rsid w:val="00F22A52"/>
    <w:rsid w:val="00F25F4E"/>
    <w:rsid w:val="00F327A7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F490B-C964-4A16-97A3-3957D1CF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4</cp:revision>
  <cp:lastPrinted>2022-12-10T07:31:00Z</cp:lastPrinted>
  <dcterms:created xsi:type="dcterms:W3CDTF">2022-12-10T06:52:00Z</dcterms:created>
  <dcterms:modified xsi:type="dcterms:W3CDTF">2022-12-20T07:09:00Z</dcterms:modified>
</cp:coreProperties>
</file>