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9382760</wp:posOffset>
                </wp:positionV>
                <wp:extent cx="182562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825625" cy="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5.650000000000006pt;margin-top:738.79999999999995pt;width:143.75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>
      <w:pPr>
        <w:pStyle w:val="Style2"/>
        <w:keepNext w:val="0"/>
        <w:keepLines w:val="0"/>
        <w:framePr w:w="9173" w:h="302" w:hRule="exact" w:wrap="none" w:vAnchor="page" w:hAnchor="page" w:x="1685" w:y="12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Smlouva o vypořádání závazků</w:t>
      </w:r>
      <w:bookmarkEnd w:id="0"/>
      <w:bookmarkEnd w:id="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</w:r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dle § 1746, odst. 2 zákona č. 89/2012 Sb., občanský zákoník, v platném znění, mezi těmito</w:t>
        <w:br/>
        <w:t>smluvními stranami:</w:t>
      </w:r>
    </w:p>
    <w:p>
      <w:pPr>
        <w:pStyle w:val="Style2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2" w:name="bookmark2"/>
      <w:bookmarkStart w:id="3" w:name="bookmark3"/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Objednatelem: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Vyšší odborná škola a Střední umělecká škola Václava Hollara, Praha 3, Hollarovo</w:t>
        <w:br/>
        <w:t xml:space="preserve">náměstí 2,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Hollarovo nám. 2, 130 00 Praha 3, IČO: 61386871, jako uživatel cloudových služeb*</w:t>
      </w:r>
      <w:bookmarkEnd w:id="2"/>
      <w:bookmarkEnd w:id="3"/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Dodavatelem: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BAKALÁŘI software s.r.o.,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Čs. armády 2, 261 01 Příbram IV,</w:t>
        <w:br/>
        <w:t>IČO: 27483045, společnost zapsaná v obchodním rejstříku vedeném Městským soudem v Praze,</w:t>
        <w:br/>
        <w:t>oddíl C, vložka 344654, jako poskytovatel cloudových služeb</w:t>
      </w:r>
    </w:p>
    <w:p>
      <w:pPr>
        <w:pStyle w:val="Style2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  <w:bookmarkEnd w:id="4"/>
      <w:bookmarkEnd w:id="5"/>
    </w:p>
    <w:p>
      <w:pPr>
        <w:pStyle w:val="Style2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skutkového stavu</w:t>
      </w:r>
      <w:bookmarkEnd w:id="6"/>
      <w:bookmarkEnd w:id="7"/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10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uzavřely dne 1. dubna 2021 smlouvu o poskytnutí cloudových služeb č. 2591/1,</w:t>
        <w:br/>
        <w:t>jejímž předmětem bylo poskytování cloudových služeb.</w:t>
      </w:r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10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povinným subjektem pro zveřejňování v registru smluv dle smlouvy uvedené</w:t>
        <w:br/>
        <w:t>v ustanovení odst. 1. tohoto článku a má povinnost uzavřenou smlouvu zveřejnit postupem podle</w:t>
        <w:br/>
        <w:t>zákona č. 340/2015 Sb., zákon o registru smluv, ve znění pozdějších předpisů.</w:t>
      </w:r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10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shodně konstatují, že do okamžiku sjednání této smlouvy nedošlo k uveřejnění</w:t>
        <w:br/>
        <w:t>smlouvy uvedené v odst. 1 tohoto článku v registru smluv, a že jsou si vědomy právních následků</w:t>
        <w:br/>
        <w:t>s tím spojených.</w:t>
      </w:r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44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zájmu úpravy vzájemných práv a povinností vyplývajících z původně sjednané smlouvy,</w:t>
        <w:br/>
        <w:t>s ohledem na skutečnost, že obě strany jednaly s vědomím závaznosti uzavřené smlouvy</w:t>
        <w:br/>
        <w:t>a v souladu s jejím obsahem plnily, co si vzájemně ujednaly, a ve snaze napravit stav vzniklý</w:t>
        <w:br/>
        <w:t>v důsledku neuveřejnění smlouvy v registru smluv, sjednávají smluvní strany tuto novou smlouvu</w:t>
        <w:br/>
        <w:t>ve znění, jak je dále uvedeno.</w:t>
      </w:r>
    </w:p>
    <w:p>
      <w:pPr>
        <w:pStyle w:val="Style11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n.</w:t>
      </w:r>
      <w:bookmarkEnd w:id="8"/>
      <w:bookmarkEnd w:id="9"/>
    </w:p>
    <w:p>
      <w:pPr>
        <w:pStyle w:val="Style2"/>
        <w:keepNext w:val="0"/>
        <w:keepLines w:val="0"/>
        <w:framePr w:w="9173" w:h="11678" w:hRule="exact" w:wrap="none" w:vAnchor="page" w:hAnchor="page" w:x="1685" w:y="211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závazky smluvních stran</w:t>
      </w:r>
      <w:bookmarkEnd w:id="10"/>
      <w:bookmarkEnd w:id="11"/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Smluvní strany si tímto ujednáním vzájemně stvrzují, že obsah vzájemných práv a povinností, který</w:t>
        <w:br/>
        <w:t>touto smlouvou nově sjednávají, je zcela a beze zbytku vyjádřen textem původně sjednané</w:t>
        <w:br/>
        <w:t>smlouvy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která tvoří pro tyto účely přílohu této smlouvy. Lhůty se rovněž řídí původně sjednanou</w:t>
        <w:br/>
        <w:t>smlouvou a počítají se od uplynutí 31 dnů od data jejího uzavření.</w:t>
      </w:r>
    </w:p>
    <w:p>
      <w:pPr>
        <w:pStyle w:val="Style5"/>
        <w:keepNext w:val="0"/>
        <w:keepLines w:val="0"/>
        <w:framePr w:w="9173" w:h="11678" w:hRule="exact" w:wrap="none" w:vAnchor="page" w:hAnchor="page" w:x="1685" w:y="211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veškerá vzájemně poskytnutá plnění na základě původně sjednané</w:t>
        <w:br/>
        <w:t>smlouvy považují za plnění dle této smlouvy a že v souvislosti se vzájemně poskytnutým plněním</w:t>
        <w:br/>
        <w:t>nebudou vzájemně vznášet vůči druhé smluvní straně nároky z titulu bezdůvodného obohacení.</w:t>
      </w:r>
    </w:p>
    <w:p>
      <w:pPr>
        <w:pStyle w:val="Style13"/>
        <w:keepNext w:val="0"/>
        <w:keepLines w:val="0"/>
        <w:framePr w:w="9110" w:h="418" w:hRule="exact" w:wrap="none" w:vAnchor="page" w:hAnchor="page" w:x="1685" w:y="148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případě jakýchkoli zmén smlouvy na veřejnou zakázku musí být tyto zmčny v souladu s § 222 zákona č. 134/2016,</w:t>
        <w:br/>
        <w:t>o zadávání veřejných zakázek, jinak by mohl být postup zadavatele považován za přestupek dle § 268 tohoto zákona.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173" w:h="2198" w:hRule="exact" w:wrap="none" w:vAnchor="page" w:hAnchor="page" w:x="1685" w:y="1299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veškerá budoucí plnění z této smlouvy, která mají být od okamžiku</w:t>
        <w:br/>
        <w:t>jejího uveřejnění v registru smluv plněna v souladu s obsahem vzájemných závazků vyjádřeným</w:t>
        <w:br/>
        <w:t>v příloze této smlouvy, budou splněna podle sjednaných podmínek.</w:t>
      </w:r>
    </w:p>
    <w:p>
      <w:pPr>
        <w:pStyle w:val="Style5"/>
        <w:keepNext w:val="0"/>
        <w:keepLines w:val="0"/>
        <w:framePr w:w="9173" w:h="2198" w:hRule="exact" w:wrap="none" w:vAnchor="page" w:hAnchor="page" w:x="1685" w:y="1299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strana, která je povinným subjektem pro zveřejňování v registru smluv dle smlouvy</w:t>
        <w:br/>
        <w:t>uvedené v čl. I. odst. 1 této smlouvy, se tímto zavazuje druhé smluvní straně k neprodlenému</w:t>
        <w:br/>
        <w:t>zveřejnění této smlouvy a její kompletní přílohy v registru smluv v souladu s ustanovením</w:t>
        <w:br/>
        <w:t>§ 5 zákona o registru smluv.</w:t>
      </w:r>
    </w:p>
    <w:p>
      <w:pPr>
        <w:pStyle w:val="Style2"/>
        <w:keepNext w:val="0"/>
        <w:keepLines w:val="0"/>
        <w:framePr w:w="9173" w:h="293" w:hRule="exact" w:wrap="none" w:vAnchor="page" w:hAnchor="page" w:x="1685" w:y="3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  <w:bookmarkEnd w:id="12"/>
      <w:bookmarkEnd w:id="13"/>
    </w:p>
    <w:p>
      <w:pPr>
        <w:pStyle w:val="Style2"/>
        <w:keepNext w:val="0"/>
        <w:keepLines w:val="0"/>
        <w:framePr w:w="9173" w:h="293" w:hRule="exact" w:wrap="none" w:vAnchor="page" w:hAnchor="page" w:x="1685" w:y="4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4"/>
      <w:bookmarkEnd w:id="15"/>
    </w:p>
    <w:p>
      <w:pPr>
        <w:pStyle w:val="Style5"/>
        <w:keepNext w:val="0"/>
        <w:keepLines w:val="0"/>
        <w:framePr w:w="9173" w:h="2678" w:hRule="exact" w:wrap="none" w:vAnchor="page" w:hAnchor="page" w:x="1685" w:y="4798"/>
        <w:widowControl w:val="0"/>
        <w:numPr>
          <w:ilvl w:val="0"/>
          <w:numId w:val="5"/>
        </w:numPr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Tato smlouva o vypořádání závazků nabývá účinnosti dnem uveřejnění v registru smluv.</w:t>
      </w:r>
    </w:p>
    <w:p>
      <w:pPr>
        <w:pStyle w:val="Style5"/>
        <w:keepNext w:val="0"/>
        <w:keepLines w:val="0"/>
        <w:framePr w:w="9173" w:h="2678" w:hRule="exact" w:wrap="none" w:vAnchor="page" w:hAnchor="page" w:x="1685" w:y="4798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after="52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o vypořádání závazků je vyhotovena ve dvou stejnopisech, každý s hodnotou</w:t>
        <w:br/>
        <w:t>originálu, přičemž každá ze smluvních stran obdrží jeden stejnopis.</w:t>
      </w:r>
    </w:p>
    <w:p>
      <w:pPr>
        <w:pStyle w:val="Style5"/>
        <w:keepNext w:val="0"/>
        <w:keepLines w:val="0"/>
        <w:framePr w:w="9173" w:h="2678" w:hRule="exact" w:wrap="none" w:vAnchor="page" w:hAnchor="page" w:x="1685" w:y="4798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1 - Smlouva o poskytování cloudových služeb č. 2591/1 ze dne 1.4.2021</w:t>
      </w:r>
    </w:p>
    <w:p>
      <w:pPr>
        <w:pStyle w:val="Style5"/>
        <w:keepNext w:val="0"/>
        <w:keepLines w:val="0"/>
        <w:framePr w:w="9173" w:h="2678" w:hRule="exact" w:wrap="none" w:vAnchor="page" w:hAnchor="page" w:x="1685" w:y="4798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2 - Dodatek č. 1 ke smlouvě o poskytování cloudových služeb č. 2591/1 ze dne 1.6.2021</w:t>
      </w:r>
    </w:p>
    <w:p>
      <w:pPr>
        <w:pStyle w:val="Style5"/>
        <w:keepNext w:val="0"/>
        <w:keepLines w:val="0"/>
        <w:framePr w:w="9173" w:h="2678" w:hRule="exact" w:wrap="none" w:vAnchor="page" w:hAnchor="page" w:x="1685" w:y="479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3 - Dodatek č. 2 ke smlouvě o poskytování cloudových služeb č. 2591/1 ze dne 1.8.2021</w:t>
      </w:r>
    </w:p>
    <w:p>
      <w:pPr>
        <w:pStyle w:val="Style5"/>
        <w:keepNext w:val="0"/>
        <w:keepLines w:val="0"/>
        <w:framePr w:wrap="none" w:vAnchor="page" w:hAnchor="page" w:x="1685" w:y="8825"/>
        <w:widowControl w:val="0"/>
        <w:shd w:val="clear" w:color="auto" w:fill="auto"/>
        <w:tabs>
          <w:tab w:pos="4790" w:val="left"/>
        </w:tabs>
        <w:bidi w:val="0"/>
        <w:spacing w:before="0" w:after="0" w:line="240" w:lineRule="auto"/>
        <w:ind w:left="43" w:right="86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 6.12.2022</w:t>
        <w:tab/>
        <w:t>V Praze dne 6.</w:t>
      </w:r>
      <w:r>
        <w:rPr>
          <w:color w:val="030346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12.202fyšší </w:t>
      </w:r>
      <w:r>
        <w:rPr>
          <w:color w:val="0306D0"/>
          <w:spacing w:val="0"/>
          <w:w w:val="100"/>
          <w:position w:val="0"/>
          <w:shd w:val="clear" w:color="auto" w:fill="auto"/>
          <w:lang w:val="cs-CZ" w:eastAsia="cs-CZ" w:bidi="cs-CZ"/>
        </w:rPr>
        <w:t>odborná škola</w:t>
      </w:r>
    </w:p>
    <w:p>
      <w:pPr>
        <w:pStyle w:val="Style17"/>
        <w:keepNext w:val="0"/>
        <w:keepLines w:val="0"/>
        <w:framePr w:w="2621" w:h="475" w:hRule="exact" w:wrap="none" w:vAnchor="page" w:hAnchor="page" w:x="8213" w:y="9103"/>
        <w:widowControl w:val="0"/>
        <w:shd w:val="clear" w:color="auto" w:fill="auto"/>
        <w:bidi w:val="0"/>
        <w:spacing w:before="0" w:after="0" w:line="240" w:lineRule="auto"/>
        <w:ind w:left="39" w:right="5" w:firstLine="0"/>
        <w:jc w:val="left"/>
      </w:pPr>
      <w:r>
        <w:rPr>
          <w:i/>
          <w:iCs/>
          <w:color w:val="030346"/>
          <w:spacing w:val="0"/>
          <w:position w:val="0"/>
          <w:shd w:val="clear" w:color="auto" w:fill="auto"/>
          <w:lang w:val="cs-CZ" w:eastAsia="cs-CZ" w:bidi="cs-CZ"/>
        </w:rPr>
        <w:t>f</w:t>
      </w:r>
      <w:r>
        <w:rPr>
          <w:spacing w:val="0"/>
          <w:position w:val="0"/>
          <w:shd w:val="clear" w:color="auto" w:fill="auto"/>
          <w:lang w:val="cs-CZ" w:eastAsia="cs-CZ" w:bidi="cs-CZ"/>
        </w:rPr>
        <w:t>umělecká škola Václava Ho*ara</w:t>
      </w:r>
    </w:p>
    <w:p>
      <w:pPr>
        <w:pStyle w:val="Style20"/>
        <w:keepNext w:val="0"/>
        <w:keepLines w:val="0"/>
        <w:framePr w:w="2621" w:h="475" w:hRule="exact" w:wrap="none" w:vAnchor="page" w:hAnchor="page" w:x="8213" w:y="9103"/>
        <w:widowControl w:val="0"/>
        <w:shd w:val="clear" w:color="auto" w:fill="auto"/>
        <w:bidi w:val="0"/>
        <w:spacing w:before="0" w:after="0" w:line="240" w:lineRule="auto"/>
        <w:ind w:left="39" w:right="5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&gt;vo náměstí 2, 130 00 Praha 3</w:t>
      </w:r>
    </w:p>
    <w:p>
      <w:pPr>
        <w:pStyle w:val="Style20"/>
        <w:keepNext w:val="0"/>
        <w:keepLines w:val="0"/>
        <w:framePr w:wrap="none" w:vAnchor="page" w:hAnchor="page" w:x="8870" w:y="954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'67 310 215</w:t>
      </w:r>
    </w:p>
    <w:p>
      <w:pPr>
        <w:pStyle w:val="Style5"/>
        <w:keepNext w:val="0"/>
        <w:keepLines w:val="0"/>
        <w:framePr w:w="2208" w:h="1123" w:hRule="exact" w:wrap="none" w:vAnchor="page" w:hAnchor="page" w:x="1704" w:y="10035"/>
        <w:widowControl w:val="0"/>
        <w:shd w:val="clear" w:color="auto" w:fill="auto"/>
        <w:bidi w:val="0"/>
        <w:spacing w:before="0" w:after="160" w:line="240" w:lineRule="auto"/>
        <w:ind w:left="10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Bakaláři software s. r. o.</w:t>
      </w:r>
    </w:p>
    <w:p>
      <w:pPr>
        <w:pStyle w:val="Style5"/>
        <w:keepNext w:val="0"/>
        <w:keepLines w:val="0"/>
        <w:framePr w:w="2208" w:h="1123" w:hRule="exact" w:wrap="none" w:vAnchor="page" w:hAnchor="page" w:x="1704" w:y="10035"/>
        <w:widowControl w:val="0"/>
        <w:shd w:val="clear" w:color="auto" w:fill="auto"/>
        <w:bidi w:val="0"/>
        <w:spacing w:before="0" w:after="160" w:line="240" w:lineRule="auto"/>
        <w:ind w:left="10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Čs.armády 2</w:t>
      </w:r>
    </w:p>
    <w:p>
      <w:pPr>
        <w:pStyle w:val="Style5"/>
        <w:keepNext w:val="0"/>
        <w:keepLines w:val="0"/>
        <w:framePr w:w="2208" w:h="1123" w:hRule="exact" w:wrap="none" w:vAnchor="page" w:hAnchor="page" w:x="1704" w:y="10035"/>
        <w:widowControl w:val="0"/>
        <w:shd w:val="clear" w:color="auto" w:fill="auto"/>
        <w:bidi w:val="0"/>
        <w:spacing w:before="0" w:after="0" w:line="240" w:lineRule="auto"/>
        <w:ind w:left="10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Příbram IV,26101</w:t>
      </w:r>
    </w:p>
    <w:p>
      <w:pPr>
        <w:pStyle w:val="Style5"/>
        <w:keepNext w:val="0"/>
        <w:keepLines w:val="0"/>
        <w:framePr w:w="9173" w:h="1133" w:hRule="exact" w:wrap="none" w:vAnchor="page" w:hAnchor="page" w:x="1685" w:y="10011"/>
        <w:widowControl w:val="0"/>
        <w:shd w:val="clear" w:color="auto" w:fill="auto"/>
        <w:bidi w:val="0"/>
        <w:spacing w:before="0" w:line="240" w:lineRule="auto"/>
        <w:ind w:left="4651" w:right="19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VOŠ a SUŠ Václava Hollara</w:t>
      </w:r>
    </w:p>
    <w:p>
      <w:pPr>
        <w:pStyle w:val="Style5"/>
        <w:keepNext w:val="0"/>
        <w:keepLines w:val="0"/>
        <w:framePr w:w="9173" w:h="1133" w:hRule="exact" w:wrap="none" w:vAnchor="page" w:hAnchor="page" w:x="1685" w:y="10011"/>
        <w:widowControl w:val="0"/>
        <w:shd w:val="clear" w:color="auto" w:fill="auto"/>
        <w:bidi w:val="0"/>
        <w:spacing w:before="0" w:line="240" w:lineRule="auto"/>
        <w:ind w:left="4651" w:right="19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Hollarovo náměstí 2275/2</w:t>
      </w:r>
    </w:p>
    <w:p>
      <w:pPr>
        <w:pStyle w:val="Style5"/>
        <w:keepNext w:val="0"/>
        <w:keepLines w:val="0"/>
        <w:framePr w:w="9173" w:h="1133" w:hRule="exact" w:wrap="none" w:vAnchor="page" w:hAnchor="page" w:x="1685" w:y="10011"/>
        <w:widowControl w:val="0"/>
        <w:shd w:val="clear" w:color="auto" w:fill="auto"/>
        <w:bidi w:val="0"/>
        <w:spacing w:before="0" w:after="0" w:line="240" w:lineRule="auto"/>
        <w:ind w:left="4651" w:right="19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130 00 Praha 3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3931285</wp:posOffset>
            </wp:positionH>
            <wp:positionV relativeFrom="page">
              <wp:posOffset>5701030</wp:posOffset>
            </wp:positionV>
            <wp:extent cx="1725295" cy="56705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25295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Poznámka pod čarou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color w:val="0306D0"/>
      <w:w w:val="80"/>
      <w:sz w:val="20"/>
      <w:szCs w:val="20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306D0"/>
      <w:sz w:val="17"/>
      <w:szCs w:val="17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100" w:line="269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Poznámka pod čarou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0306D0"/>
      <w:w w:val="80"/>
      <w:sz w:val="20"/>
      <w:szCs w:val="20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306D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