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 xml:space="preserve">SMLOUVA O REALIZACI DIVADELNÍHO PŘEDSTAVENÍ Č. </w:t>
      </w:r>
      <w:r>
        <w:rPr>
          <w:b/>
          <w:smallCaps/>
          <w:sz w:val="22"/>
          <w:szCs w:val="22"/>
        </w:rPr>
        <w:t>DP2022023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2"/>
          <w:szCs w:val="22"/>
        </w:rPr>
      </w:pP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2"/>
          <w:szCs w:val="22"/>
        </w:rPr>
      </w:pPr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United </w:t>
      </w:r>
      <w:proofErr w:type="spellStart"/>
      <w:r>
        <w:rPr>
          <w:b/>
          <w:color w:val="000000"/>
          <w:sz w:val="22"/>
          <w:szCs w:val="22"/>
        </w:rPr>
        <w:t>Arts</w:t>
      </w:r>
      <w:proofErr w:type="spellEnd"/>
      <w:r>
        <w:rPr>
          <w:b/>
          <w:color w:val="000000"/>
          <w:sz w:val="22"/>
          <w:szCs w:val="22"/>
        </w:rPr>
        <w:t xml:space="preserve"> &amp; </w:t>
      </w:r>
      <w:proofErr w:type="gramStart"/>
      <w:r>
        <w:rPr>
          <w:b/>
          <w:color w:val="000000"/>
          <w:sz w:val="22"/>
          <w:szCs w:val="22"/>
        </w:rPr>
        <w:t xml:space="preserve">Co. </w:t>
      </w:r>
      <w:proofErr w:type="spellStart"/>
      <w:r>
        <w:rPr>
          <w:b/>
          <w:color w:val="000000"/>
          <w:sz w:val="22"/>
          <w:szCs w:val="22"/>
        </w:rPr>
        <w:t>z.s</w:t>
      </w:r>
      <w:proofErr w:type="spellEnd"/>
      <w:r>
        <w:rPr>
          <w:b/>
          <w:color w:val="000000"/>
          <w:sz w:val="22"/>
          <w:szCs w:val="22"/>
        </w:rPr>
        <w:t>.</w:t>
      </w:r>
      <w:proofErr w:type="gramEnd"/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00"/>
        </w:rPr>
      </w:pPr>
      <w:r>
        <w:rPr>
          <w:color w:val="000000"/>
        </w:rPr>
        <w:t xml:space="preserve">Se sídlem: </w:t>
      </w:r>
      <w:r>
        <w:rPr>
          <w:color w:val="000000"/>
        </w:rPr>
        <w:tab/>
      </w:r>
      <w:proofErr w:type="spellStart"/>
      <w:r>
        <w:rPr>
          <w:color w:val="000000"/>
        </w:rPr>
        <w:t>Marciho</w:t>
      </w:r>
      <w:proofErr w:type="spellEnd"/>
      <w:r>
        <w:rPr>
          <w:color w:val="000000"/>
        </w:rPr>
        <w:t xml:space="preserve"> 711/10, 108 00 Praha 10</w:t>
      </w:r>
      <w:r>
        <w:rPr>
          <w:color w:val="000000"/>
        </w:rPr>
        <w:br/>
        <w:t xml:space="preserve">IČ: </w:t>
      </w:r>
      <w:r>
        <w:rPr>
          <w:color w:val="000000"/>
        </w:rPr>
        <w:tab/>
      </w:r>
      <w:r>
        <w:rPr>
          <w:color w:val="000000"/>
        </w:rPr>
        <w:tab/>
        <w:t xml:space="preserve">04447611 </w:t>
      </w:r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00"/>
        </w:rPr>
      </w:pPr>
      <w:r>
        <w:rPr>
          <w:color w:val="000000"/>
        </w:rPr>
        <w:t xml:space="preserve">DIČ: </w:t>
      </w:r>
      <w:r>
        <w:rPr>
          <w:color w:val="000000"/>
        </w:rPr>
        <w:tab/>
      </w:r>
      <w:r>
        <w:rPr>
          <w:color w:val="000000"/>
        </w:rPr>
        <w:tab/>
        <w:t>CZ04447611</w:t>
      </w:r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  <w:r>
        <w:rPr>
          <w:color w:val="000000"/>
        </w:rPr>
        <w:t>Plátce DPH:</w:t>
      </w:r>
      <w:r>
        <w:rPr>
          <w:color w:val="000000"/>
        </w:rPr>
        <w:tab/>
        <w:t>Ne</w:t>
      </w:r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00"/>
        </w:rPr>
      </w:pPr>
      <w:r>
        <w:rPr>
          <w:color w:val="000000"/>
        </w:rPr>
        <w:t xml:space="preserve">Jednající: </w:t>
      </w:r>
      <w:r>
        <w:rPr>
          <w:color w:val="000000"/>
        </w:rPr>
        <w:tab/>
        <w:t>Zdeňkem Moravcem, členem výboru</w:t>
      </w:r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00"/>
        </w:rPr>
      </w:pPr>
      <w:r>
        <w:rPr>
          <w:color w:val="000000"/>
        </w:rPr>
        <w:t xml:space="preserve">Email: 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="008509C6">
        <w:rPr>
          <w:color w:val="000000"/>
        </w:rPr>
        <w:t>xxx</w:t>
      </w:r>
      <w:proofErr w:type="spellEnd"/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00"/>
        </w:rPr>
      </w:pPr>
      <w:r>
        <w:rPr>
          <w:color w:val="000000"/>
        </w:rPr>
        <w:t>Tel: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="008509C6">
        <w:rPr>
          <w:color w:val="000000"/>
        </w:rPr>
        <w:t>xxx</w:t>
      </w:r>
      <w:proofErr w:type="spellEnd"/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00"/>
        </w:rPr>
      </w:pPr>
      <w:r>
        <w:rPr>
          <w:color w:val="000000"/>
        </w:rPr>
        <w:t xml:space="preserve">Bank. </w:t>
      </w:r>
      <w:proofErr w:type="gramStart"/>
      <w:r>
        <w:rPr>
          <w:color w:val="000000"/>
        </w:rPr>
        <w:t>spojení</w:t>
      </w:r>
      <w:proofErr w:type="gramEnd"/>
      <w:r>
        <w:rPr>
          <w:color w:val="000000"/>
        </w:rPr>
        <w:t>:</w:t>
      </w:r>
      <w:r>
        <w:rPr>
          <w:color w:val="000000"/>
        </w:rPr>
        <w:tab/>
      </w:r>
      <w:proofErr w:type="spellStart"/>
      <w:r w:rsidR="008509C6">
        <w:rPr>
          <w:color w:val="000000"/>
        </w:rPr>
        <w:t>xxx</w:t>
      </w:r>
      <w:proofErr w:type="spellEnd"/>
      <w:r>
        <w:rPr>
          <w:color w:val="000000"/>
        </w:rPr>
        <w:tab/>
      </w:r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  <w:r>
        <w:rPr>
          <w:color w:val="000000"/>
        </w:rPr>
        <w:t xml:space="preserve">Číslo účtu: </w:t>
      </w:r>
      <w:r>
        <w:rPr>
          <w:color w:val="000000"/>
        </w:rPr>
        <w:tab/>
      </w:r>
      <w:proofErr w:type="spellStart"/>
      <w:r w:rsidR="008509C6">
        <w:rPr>
          <w:color w:val="000000"/>
        </w:rPr>
        <w:t>xxx</w:t>
      </w:r>
      <w:proofErr w:type="spellEnd"/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  <w:r>
        <w:rPr>
          <w:color w:val="000000"/>
        </w:rPr>
        <w:t>Registrovaný Městským soudem v Praze, oddíl L vložka č. 63545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00"/>
        </w:rPr>
      </w:pPr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00"/>
        </w:rPr>
      </w:pPr>
      <w:r>
        <w:rPr>
          <w:color w:val="000000"/>
        </w:rPr>
        <w:t>dále jen „</w:t>
      </w:r>
      <w:r>
        <w:rPr>
          <w:b/>
          <w:color w:val="000000"/>
        </w:rPr>
        <w:t xml:space="preserve">United </w:t>
      </w:r>
      <w:proofErr w:type="spellStart"/>
      <w:r>
        <w:rPr>
          <w:b/>
          <w:color w:val="000000"/>
        </w:rPr>
        <w:t>Arts</w:t>
      </w:r>
      <w:proofErr w:type="spellEnd"/>
      <w:r>
        <w:rPr>
          <w:color w:val="000000"/>
        </w:rPr>
        <w:t xml:space="preserve">“ 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00"/>
        </w:rPr>
      </w:pPr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2"/>
          <w:szCs w:val="22"/>
        </w:rPr>
      </w:pPr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Společnost: </w:t>
      </w:r>
      <w:r>
        <w:rPr>
          <w:b/>
          <w:color w:val="000000"/>
          <w:sz w:val="22"/>
          <w:szCs w:val="22"/>
        </w:rPr>
        <w:tab/>
      </w:r>
      <w:r>
        <w:rPr>
          <w:b/>
          <w:sz w:val="22"/>
          <w:szCs w:val="22"/>
        </w:rPr>
        <w:t>Beskydské divadlo Nový Jičín</w:t>
      </w:r>
      <w:r>
        <w:rPr>
          <w:sz w:val="22"/>
          <w:szCs w:val="22"/>
        </w:rPr>
        <w:t xml:space="preserve"> </w:t>
      </w:r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</w:pPr>
      <w:r>
        <w:rPr>
          <w:color w:val="000000"/>
        </w:rPr>
        <w:t xml:space="preserve">Se sídlem: </w:t>
      </w:r>
      <w:r>
        <w:rPr>
          <w:color w:val="000000"/>
        </w:rPr>
        <w:tab/>
      </w:r>
      <w:r>
        <w:t>Divadelní 873/5, Nový Jičín 741 01</w:t>
      </w:r>
      <w:r>
        <w:br/>
      </w:r>
      <w:r>
        <w:rPr>
          <w:color w:val="000000"/>
        </w:rPr>
        <w:t xml:space="preserve">IČ: </w:t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00096334 </w:t>
      </w:r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00"/>
        </w:rPr>
      </w:pPr>
      <w:r>
        <w:rPr>
          <w:color w:val="000000"/>
        </w:rPr>
        <w:t xml:space="preserve">DIČ: </w:t>
      </w:r>
      <w:r>
        <w:rPr>
          <w:color w:val="000000"/>
        </w:rPr>
        <w:tab/>
      </w:r>
      <w:r>
        <w:rPr>
          <w:color w:val="000000"/>
        </w:rPr>
        <w:tab/>
      </w:r>
      <w:r>
        <w:t>CZ00096334</w:t>
      </w:r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00"/>
        </w:rPr>
      </w:pPr>
      <w:r>
        <w:rPr>
          <w:color w:val="000000"/>
        </w:rPr>
        <w:t>Zastoupena:</w:t>
      </w:r>
      <w:r>
        <w:rPr>
          <w:color w:val="000000"/>
        </w:rPr>
        <w:tab/>
      </w:r>
      <w:r>
        <w:t>Mgr. Pavlem Bártkem, ředitelem</w:t>
      </w:r>
    </w:p>
    <w:p w:rsidR="008509C6" w:rsidRDefault="00850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t>Vyřizuje:</w:t>
      </w:r>
      <w:r>
        <w:tab/>
      </w:r>
      <w:proofErr w:type="spellStart"/>
      <w:r>
        <w:t>xxx</w:t>
      </w:r>
      <w:proofErr w:type="spellEnd"/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18"/>
          <w:szCs w:val="18"/>
          <w:highlight w:val="yellow"/>
        </w:rPr>
      </w:pPr>
      <w:r>
        <w:rPr>
          <w:color w:val="000000"/>
        </w:rPr>
        <w:t xml:space="preserve">Email: 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="008509C6">
        <w:rPr>
          <w:sz w:val="18"/>
          <w:szCs w:val="18"/>
        </w:rPr>
        <w:t>xxx</w:t>
      </w:r>
      <w:proofErr w:type="spellEnd"/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18"/>
          <w:szCs w:val="18"/>
        </w:rPr>
      </w:pPr>
      <w:r>
        <w:rPr>
          <w:sz w:val="18"/>
          <w:szCs w:val="18"/>
        </w:rPr>
        <w:t>Tel: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="008509C6">
        <w:rPr>
          <w:sz w:val="18"/>
          <w:szCs w:val="18"/>
        </w:rPr>
        <w:t>xxx</w:t>
      </w:r>
      <w:proofErr w:type="spellEnd"/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18"/>
          <w:szCs w:val="18"/>
        </w:rPr>
      </w:pPr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dále jen “</w:t>
      </w:r>
      <w:r>
        <w:rPr>
          <w:b/>
          <w:color w:val="000000"/>
          <w:sz w:val="22"/>
          <w:szCs w:val="22"/>
        </w:rPr>
        <w:t>Pořadatel</w:t>
      </w:r>
      <w:r>
        <w:rPr>
          <w:color w:val="000000"/>
          <w:sz w:val="22"/>
          <w:szCs w:val="22"/>
        </w:rPr>
        <w:t xml:space="preserve">“ </w:t>
      </w:r>
      <w:r>
        <w:rPr>
          <w:color w:val="000000"/>
          <w:sz w:val="22"/>
          <w:szCs w:val="22"/>
        </w:rPr>
        <w:br/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2"/>
          <w:szCs w:val="22"/>
        </w:rPr>
      </w:pPr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Spolu uzavřely níže uvedeného dne, měsíce a roku tuto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Smlouvu o realizaci divadelního představení </w:t>
      </w:r>
      <w:r>
        <w:rPr>
          <w:color w:val="000000"/>
          <w:sz w:val="22"/>
          <w:szCs w:val="22"/>
        </w:rPr>
        <w:br/>
        <w:t>podle § 1746 odstavce 2, § 2358, § 2586 a následujících zákona č.89/2012 Sb. nového občanského zákoníku a dále dle § 67 autorského zákona č. 121/2000 Sb. v platném znění.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</w:t>
      </w:r>
      <w:r>
        <w:rPr>
          <w:b/>
          <w:color w:val="000000"/>
          <w:sz w:val="22"/>
          <w:szCs w:val="22"/>
        </w:rPr>
        <w:br/>
        <w:t>PŘEDMĚT SMLOUVY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</w:p>
    <w:p w:rsidR="00B11FB1" w:rsidRDefault="005D3A29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 xml:space="preserve">Předmětem této smlouvy je realizace divadelního představení </w:t>
      </w:r>
      <w:r>
        <w:t>KONKURZ</w:t>
      </w:r>
      <w:r>
        <w:rPr>
          <w:color w:val="000000"/>
        </w:rPr>
        <w:t xml:space="preserve"> v Beskydském divadle Nový </w:t>
      </w:r>
      <w:proofErr w:type="gramStart"/>
      <w:r>
        <w:rPr>
          <w:color w:val="000000"/>
        </w:rPr>
        <w:t xml:space="preserve">Jičín </w:t>
      </w:r>
      <w:r>
        <w:t xml:space="preserve">, </w:t>
      </w:r>
      <w:r>
        <w:rPr>
          <w:color w:val="000000"/>
        </w:rPr>
        <w:t xml:space="preserve"> dne</w:t>
      </w:r>
      <w:proofErr w:type="gramEnd"/>
      <w:r>
        <w:rPr>
          <w:color w:val="000000"/>
        </w:rPr>
        <w:t xml:space="preserve"> </w:t>
      </w:r>
      <w:r>
        <w:t>21. února 2023</w:t>
      </w:r>
      <w:r>
        <w:rPr>
          <w:color w:val="000000"/>
        </w:rPr>
        <w:t xml:space="preserve"> Dále jen „Představení“.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both"/>
        <w:rPr>
          <w:color w:val="000000"/>
        </w:rPr>
      </w:pPr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both"/>
        <w:rPr>
          <w:color w:val="000000"/>
        </w:rPr>
      </w:pPr>
      <w:r>
        <w:rPr>
          <w:color w:val="000000"/>
        </w:rPr>
        <w:t xml:space="preserve">Adresa divadla: </w:t>
      </w:r>
      <w:r>
        <w:t>Divadelní 873/5, Nový Jičín</w:t>
      </w:r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both"/>
        <w:rPr>
          <w:color w:val="000000"/>
        </w:rPr>
      </w:pPr>
      <w:r>
        <w:rPr>
          <w:color w:val="000000"/>
        </w:rPr>
        <w:t xml:space="preserve">Datum a čas příjezdu: </w:t>
      </w:r>
      <w:r>
        <w:t xml:space="preserve"> 21. února 2023 ve 12 hodin</w:t>
      </w:r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both"/>
        <w:rPr>
          <w:color w:val="000000"/>
        </w:rPr>
      </w:pPr>
      <w:r>
        <w:rPr>
          <w:color w:val="000000"/>
        </w:rPr>
        <w:t xml:space="preserve">Začátek představení: </w:t>
      </w:r>
      <w:r>
        <w:t>19 hodin</w:t>
      </w:r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both"/>
        <w:rPr>
          <w:color w:val="000000"/>
        </w:rPr>
      </w:pPr>
      <w:r>
        <w:rPr>
          <w:color w:val="000000"/>
        </w:rPr>
        <w:t>Délka představení: cca 75 min.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B11FB1" w:rsidRDefault="005D3A29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United Art prohlašuje, že je v zastoupení skupiny </w:t>
      </w:r>
      <w:proofErr w:type="spellStart"/>
      <w:r>
        <w:rPr>
          <w:color w:val="000000"/>
        </w:rPr>
        <w:t>Losers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Cirque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Company</w:t>
      </w:r>
      <w:proofErr w:type="spellEnd"/>
      <w:r>
        <w:rPr>
          <w:color w:val="000000"/>
        </w:rPr>
        <w:t xml:space="preserve"> oprávněno udělit souhlas s užitím jejich uměleckých výkonů a v tento souhlas s užitím uměleckých výkonů uděluje. 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</w:pP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</w:pPr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POVINNOSTI SMLUVNÍCH STRAN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</w:p>
    <w:p w:rsidR="00B11FB1" w:rsidRDefault="005D3A2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se zavazuje se realizovat představení, dle podmínek stanovených touto smlouvou. A přejímá uměleckou odpovědnost za výkony umělců.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B11FB1" w:rsidRDefault="005D3A2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se zavazuje sdělit pořadateli konkrétní technické podmínky nutné k realizaci svého </w:t>
      </w:r>
      <w:proofErr w:type="gramStart"/>
      <w:r>
        <w:rPr>
          <w:color w:val="000000"/>
        </w:rPr>
        <w:t>vystoupení     nejpozději</w:t>
      </w:r>
      <w:proofErr w:type="gramEnd"/>
      <w:r>
        <w:rPr>
          <w:color w:val="000000"/>
        </w:rPr>
        <w:t xml:space="preserve"> do</w:t>
      </w:r>
      <w:r>
        <w:t xml:space="preserve"> </w:t>
      </w:r>
      <w:r>
        <w:rPr>
          <w:color w:val="000000"/>
        </w:rPr>
        <w:t>3</w:t>
      </w:r>
      <w:r w:rsidR="008509C6">
        <w:rPr>
          <w:color w:val="000000"/>
        </w:rPr>
        <w:t>0</w:t>
      </w:r>
      <w:bookmarkStart w:id="0" w:name="_GoBack"/>
      <w:bookmarkEnd w:id="0"/>
      <w:r>
        <w:t>. září 2022</w:t>
      </w:r>
      <w:r>
        <w:rPr>
          <w:color w:val="000000"/>
        </w:rPr>
        <w:t>. Specifikace těchto podmínek tvoří přílohu č. 1, která je nedílnou součástí této smlouvy.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B11FB1" w:rsidRDefault="005D3A2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zajistí dopravu umělců a scénografických předmětů, kostýmů, rekvizit, které inscenace zahrnuje, jakož i všech nezbytných prvků pro představení, a to na místo uměleckého výkonu i zpět. 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B11FB1" w:rsidRDefault="005D3A2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se zavazuje, že neuzavře smlouvu s třetí osobou bránící plnit závazky sjednané v této smlouvě.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současně prohlašuje, že takovou ani podobnou smlouvu již neuzavřelo.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B11FB1" w:rsidRDefault="005D3A2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se zavazuje poskytnout pořadateli na vyžádání informace o představení, obrazový a video materiál k propagačním účelům. 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B11FB1" w:rsidRDefault="005D3A2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 xml:space="preserve">Pořadatel </w:t>
      </w:r>
      <w:r>
        <w:t>se</w:t>
      </w:r>
      <w:r>
        <w:rPr>
          <w:color w:val="000000"/>
        </w:rPr>
        <w:t xml:space="preserve"> zavazuje poskytnout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prostory pro přípravu, zkoušení a realizaci představení tj. zejména prázdné a čisté jeviště s pracovním osvětlením, v den konání představení v době od </w:t>
      </w:r>
      <w:r>
        <w:t>12 hodin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B11FB1" w:rsidRDefault="005D3A2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>Pořadatel se zavazuje zajistit komplexní servis pro realizaci představení, tj. osoby k zajištění pořádku, bezpečnosti, úklidu, uvedení představení apod.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B11FB1" w:rsidRDefault="005D3A2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 xml:space="preserve">Pořadatel se zavazuje zajistit parkování v blízkosti divadla, dále dostatečně prostornou, uzamykatelnou šatnu pro rozcvičení a uložení osobních věcí. 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B11FB1" w:rsidRDefault="005D3A2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 xml:space="preserve">Pořadatel zajistí potřebný úklid v </w:t>
      </w:r>
      <w:proofErr w:type="gramStart"/>
      <w:r>
        <w:rPr>
          <w:color w:val="000000"/>
        </w:rPr>
        <w:t>prostorách kde</w:t>
      </w:r>
      <w:proofErr w:type="gramEnd"/>
      <w:r>
        <w:rPr>
          <w:color w:val="000000"/>
        </w:rPr>
        <w:t xml:space="preserve"> bude Představení realizováno. 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>
    <w:p w:rsidR="00B11FB1" w:rsidRDefault="005D3A29">
      <w:pPr>
        <w:numPr>
          <w:ilvl w:val="0"/>
          <w:numId w:val="10"/>
        </w:numPr>
        <w:jc w:val="both"/>
      </w:pPr>
      <w:r>
        <w:t xml:space="preserve">Pořadatel zajistí úklid jeviště (vytření </w:t>
      </w:r>
      <w:proofErr w:type="spellStart"/>
      <w:r>
        <w:t>baletizolu</w:t>
      </w:r>
      <w:proofErr w:type="spellEnd"/>
      <w:r>
        <w:t>) 30 minut před začátkem představení.</w:t>
      </w:r>
    </w:p>
    <w:p w:rsidR="00B11FB1" w:rsidRDefault="00B11FB1">
      <w:pPr>
        <w:jc w:val="both"/>
      </w:pPr>
    </w:p>
    <w:p w:rsidR="00B11FB1" w:rsidRDefault="005D3A2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>Pořadatel se zavazuje zajistit odpovídající technické zajištění nutné pro realizaci představení. Tím se rozumí zejména podmínky pro představení dle přílohy č. 1 této smlouvy.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B11FB1" w:rsidRDefault="005D3A2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  <w:r>
        <w:rPr>
          <w:color w:val="000000"/>
        </w:rPr>
        <w:t xml:space="preserve">Pořadatel zajistí pro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4 volné vstupenky na představení, pokud si je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v dostatečném časovém předstihu vyžádá.</w:t>
      </w:r>
      <w:r>
        <w:rPr>
          <w:color w:val="000000"/>
        </w:rPr>
        <w:br/>
      </w:r>
    </w:p>
    <w:p w:rsidR="00B11FB1" w:rsidRDefault="005D3A2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t xml:space="preserve">Pořadatel se zavazuje zajistit ubytování pro 12 účinkujících z 21. na 22. a 23. února 2023. </w:t>
      </w:r>
    </w:p>
    <w:p w:rsidR="00B11FB1" w:rsidRDefault="005D3A2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proofErr w:type="spellStart"/>
      <w:r>
        <w:t>Alikvot</w:t>
      </w:r>
      <w:proofErr w:type="spellEnd"/>
      <w:r>
        <w:t xml:space="preserve"> ubytování uhradí Městské divadlo Prostějov a </w:t>
      </w:r>
      <w:r>
        <w:rPr>
          <w:b/>
          <w:bCs/>
          <w:color w:val="000000"/>
        </w:rPr>
        <w:t>Akord &amp; Poklad s.r.o.</w:t>
      </w:r>
      <w:r>
        <w:rPr>
          <w:color w:val="000000"/>
        </w:rPr>
        <w:br/>
        <w:t xml:space="preserve"> Ostrava-Zábřeh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both"/>
      </w:pPr>
    </w:p>
    <w:p w:rsidR="00B11FB1" w:rsidRDefault="005D3A2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 xml:space="preserve">Pořizování obrazových a zvukových záznamů z představení není dovoleno. Součástí této smlouvy </w:t>
      </w:r>
      <w:proofErr w:type="gramStart"/>
      <w:r>
        <w:rPr>
          <w:color w:val="000000"/>
        </w:rPr>
        <w:t>nejsou</w:t>
      </w:r>
      <w:proofErr w:type="gramEnd"/>
      <w:r>
        <w:rPr>
          <w:color w:val="000000"/>
        </w:rPr>
        <w:t xml:space="preserve"> Tato smlouva </w:t>
      </w:r>
      <w:proofErr w:type="gramStart"/>
      <w:r>
        <w:rPr>
          <w:color w:val="000000"/>
        </w:rPr>
        <w:t>neobsahuje</w:t>
      </w:r>
      <w:proofErr w:type="gramEnd"/>
      <w:r>
        <w:rPr>
          <w:color w:val="000000"/>
        </w:rPr>
        <w:t xml:space="preserve"> práva na pořizování záznamu a proto je nutné tuto problematiku řešit další smlouvou.  Pořadatel ale může pořídit zvukový či obrazový záznam z představení k propagačním </w:t>
      </w:r>
      <w:proofErr w:type="gramStart"/>
      <w:r>
        <w:rPr>
          <w:color w:val="000000"/>
        </w:rPr>
        <w:t>účelů</w:t>
      </w:r>
      <w:proofErr w:type="gramEnd"/>
      <w:r>
        <w:rPr>
          <w:color w:val="000000"/>
        </w:rPr>
        <w:t xml:space="preserve"> v maximální délce 5 min po předchozím souhlasu představitele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. 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B11FB1" w:rsidRDefault="005D3A2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t xml:space="preserve">Pořadatel </w:t>
      </w:r>
      <w:r>
        <w:rPr>
          <w:color w:val="000000"/>
        </w:rPr>
        <w:t xml:space="preserve">zajistí na průběh zkoušek a představení zodpovědnou osobu </w:t>
      </w:r>
      <w:proofErr w:type="spellStart"/>
      <w:r w:rsidR="008509C6">
        <w:t>xxx</w:t>
      </w:r>
      <w:proofErr w:type="spellEnd"/>
      <w:r>
        <w:t xml:space="preserve">, tel.: </w:t>
      </w:r>
      <w:proofErr w:type="spellStart"/>
      <w:r w:rsidR="008509C6">
        <w:t>xxx</w:t>
      </w:r>
      <w:proofErr w:type="spellEnd"/>
      <w:r>
        <w:rPr>
          <w:color w:val="000000"/>
        </w:rPr>
        <w:t xml:space="preserve"> pro řešení provozních záležitostí. Oproti tomu určí nájemce odpovědnou </w:t>
      </w:r>
      <w:proofErr w:type="gramStart"/>
      <w:r>
        <w:rPr>
          <w:color w:val="000000"/>
        </w:rPr>
        <w:t xml:space="preserve">osobu ( </w:t>
      </w:r>
      <w:proofErr w:type="spellStart"/>
      <w:r w:rsidR="008509C6">
        <w:t>xxx</w:t>
      </w:r>
      <w:proofErr w:type="spellEnd"/>
      <w:proofErr w:type="gramEnd"/>
      <w:r>
        <w:rPr>
          <w:color w:val="000000"/>
        </w:rPr>
        <w:t xml:space="preserve"> tel.: </w:t>
      </w:r>
      <w:proofErr w:type="spellStart"/>
      <w:proofErr w:type="gramStart"/>
      <w:r w:rsidR="008509C6">
        <w:rPr>
          <w:color w:val="000000"/>
        </w:rPr>
        <w:t>xxx</w:t>
      </w:r>
      <w:proofErr w:type="spellEnd"/>
      <w:r>
        <w:rPr>
          <w:color w:val="000000"/>
        </w:rPr>
        <w:t>)  pro</w:t>
      </w:r>
      <w:proofErr w:type="gramEnd"/>
      <w:r>
        <w:rPr>
          <w:color w:val="000000"/>
        </w:rPr>
        <w:t xml:space="preserve"> společné řešení provozních záležitostí.</w:t>
      </w:r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2"/>
          <w:szCs w:val="22"/>
        </w:rPr>
      </w:pP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2"/>
          <w:szCs w:val="22"/>
        </w:rPr>
      </w:pP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2"/>
          <w:szCs w:val="22"/>
        </w:rPr>
      </w:pP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2"/>
          <w:szCs w:val="22"/>
        </w:rPr>
      </w:pP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2"/>
          <w:szCs w:val="22"/>
        </w:rPr>
      </w:pP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2"/>
          <w:szCs w:val="22"/>
        </w:rPr>
      </w:pPr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 xml:space="preserve">ONEMOCNĚNÍ UMĚLCE A JINÉ DŮVODY PRO NEÚČAST 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</w:p>
    <w:p w:rsidR="00B11FB1" w:rsidRDefault="005D3A2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 xml:space="preserve">Pokud akrobatická skupina </w:t>
      </w:r>
      <w:proofErr w:type="spellStart"/>
      <w:r>
        <w:rPr>
          <w:color w:val="000000"/>
        </w:rPr>
        <w:t>Loser</w:t>
      </w:r>
      <w:proofErr w:type="spellEnd"/>
      <w:r>
        <w:rPr>
          <w:color w:val="000000"/>
        </w:rPr>
        <w:t xml:space="preserve">(s) v době konání akce není schopna plnit povinnosti plynoucí z této smlouvy (zejm. onemocní-li některý z členů nebo je zraněn), je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povinno tuto skutečnost neprodleně oznámit Pořadateli. Dále je </w:t>
      </w:r>
      <w:r>
        <w:t>povinen</w:t>
      </w:r>
      <w:r>
        <w:rPr>
          <w:color w:val="000000"/>
        </w:rPr>
        <w:t xml:space="preserve"> tuto skutečnost doložit (např. lékařskou zprávou).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2"/>
          <w:szCs w:val="22"/>
        </w:rPr>
      </w:pPr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I</w:t>
      </w:r>
      <w:r>
        <w:rPr>
          <w:b/>
          <w:color w:val="000000"/>
          <w:sz w:val="22"/>
          <w:szCs w:val="22"/>
        </w:rPr>
        <w:t>V.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 xml:space="preserve">FINANČNÍ UJEDNÁNÍ 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color w:val="000000"/>
        </w:rPr>
      </w:pPr>
    </w:p>
    <w:p w:rsidR="00B11FB1" w:rsidRDefault="005D3A29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 xml:space="preserve">Pořadatel se zavazuje zaplatit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za realizaci divadelního představení dle této smlouvy odměnu ve výši </w:t>
      </w:r>
      <w:r>
        <w:rPr>
          <w:b/>
        </w:rPr>
        <w:t>60</w:t>
      </w:r>
      <w:r>
        <w:rPr>
          <w:b/>
          <w:color w:val="000000"/>
        </w:rPr>
        <w:t xml:space="preserve"> 000,- Kč </w:t>
      </w:r>
      <w:r>
        <w:rPr>
          <w:color w:val="000000"/>
        </w:rPr>
        <w:t xml:space="preserve">(slovy: </w:t>
      </w:r>
      <w:r>
        <w:t>šedesát</w:t>
      </w:r>
      <w:r>
        <w:rPr>
          <w:color w:val="000000"/>
        </w:rPr>
        <w:t xml:space="preserve"> tisíc korun českých), dále jen „</w:t>
      </w:r>
      <w:proofErr w:type="gramStart"/>
      <w:r>
        <w:rPr>
          <w:color w:val="000000"/>
        </w:rPr>
        <w:t>odměna“  a cestovné</w:t>
      </w:r>
      <w:proofErr w:type="gramEnd"/>
      <w:r>
        <w:rPr>
          <w:color w:val="000000"/>
        </w:rPr>
        <w:t xml:space="preserve"> ve výši </w:t>
      </w:r>
      <w:r>
        <w:rPr>
          <w:b/>
          <w:color w:val="000000"/>
        </w:rPr>
        <w:t>1</w:t>
      </w:r>
      <w:r>
        <w:rPr>
          <w:b/>
        </w:rPr>
        <w:t>1</w:t>
      </w:r>
      <w:r>
        <w:rPr>
          <w:b/>
          <w:color w:val="000000"/>
        </w:rPr>
        <w:t>.</w:t>
      </w:r>
      <w:r>
        <w:rPr>
          <w:b/>
        </w:rPr>
        <w:t>00</w:t>
      </w:r>
      <w:r>
        <w:rPr>
          <w:b/>
          <w:color w:val="000000"/>
        </w:rPr>
        <w:t>0,</w:t>
      </w:r>
      <w:r>
        <w:rPr>
          <w:color w:val="000000"/>
        </w:rPr>
        <w:t xml:space="preserve">- (slovy: </w:t>
      </w:r>
      <w:r>
        <w:t xml:space="preserve">jedenáct </w:t>
      </w:r>
      <w:r>
        <w:rPr>
          <w:color w:val="000000"/>
        </w:rPr>
        <w:t xml:space="preserve">tisíc korun českých) dále jen „cestovné“. 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B11FB1" w:rsidRDefault="005D3A29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 xml:space="preserve">Odměna a cestovné bude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vyplaceno na základě faktury, vystavené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po realizaci představení, se splatností 15 dnů od doručení faktury Pořadateli. 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B11FB1" w:rsidRDefault="005D3A29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 xml:space="preserve">Fakturační údaje jsou uvedeny v záhlaví smlouvy v platném znění. 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B11FB1" w:rsidRDefault="005D3A29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>Smluvní strany sjednávají, že faktura je považována za doručenou</w:t>
      </w:r>
      <w:r w:rsidR="008509C6">
        <w:rPr>
          <w:color w:val="000000"/>
        </w:rPr>
        <w:t>,</w:t>
      </w:r>
      <w:r>
        <w:rPr>
          <w:color w:val="000000"/>
        </w:rPr>
        <w:t xml:space="preserve"> byla-li zaslána na emailovou adresu uvedenou v záhlaví smlouvy ve formátu PDF.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B11FB1" w:rsidRDefault="005D3A29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 xml:space="preserve">Odměna a cestovné bude vyplaceno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bezhotovostním převodem na účet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uvedený v záhlaví této smlouvy.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B11FB1" w:rsidRDefault="005D3A29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 xml:space="preserve">Veškeré autorské honoráře k divadelnímu představení (vč. hudby) jsou placeny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>.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color w:val="000000"/>
        </w:rPr>
      </w:pPr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SMLUVNÍ POKUTA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color w:val="000000"/>
        </w:rPr>
      </w:pPr>
    </w:p>
    <w:p w:rsidR="00B11FB1" w:rsidRDefault="005D3A2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 xml:space="preserve">V případě nedodržení splatnosti faktury dle </w:t>
      </w:r>
      <w:proofErr w:type="gramStart"/>
      <w:r>
        <w:rPr>
          <w:color w:val="000000"/>
        </w:rPr>
        <w:t>čl. V.2 této</w:t>
      </w:r>
      <w:proofErr w:type="gramEnd"/>
      <w:r>
        <w:rPr>
          <w:color w:val="000000"/>
        </w:rPr>
        <w:t xml:space="preserve"> smlouvy se Pořadatel zavazuje uhradit smluvní pokutu ve výši 0,5% z celkové odměny za každý započatý den prodlení s úhradou faktury. 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B11FB1" w:rsidRDefault="005D3A2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 xml:space="preserve">V případě nekonání Akce ve sjednaném termínu z důvodů ležících výhradně na straně Pořadatele nárok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na odměnu nezaniká.</w:t>
      </w:r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PLATNOST SMLOUVY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00"/>
        </w:rPr>
      </w:pPr>
    </w:p>
    <w:p w:rsidR="00B11FB1" w:rsidRDefault="005D3A2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 xml:space="preserve">Tato smlouva je uzavřena na dobu určitou. 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B11FB1" w:rsidRDefault="005D3A2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>Při hrubém porušení povinností vyplývajících z této smlouvy mají smluvní strany nárok na odstoupení od smlouvy.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B11FB1" w:rsidRDefault="005D3A2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>Účinky odstoupení od smlouvy nastávají okamžikem doručení písemného projevu vůle druhé smluvní straně. Odstoupení od smlouvy se nedotýká zejména nároků na náhradu škody, licence, povinnosti mlčenlivosti.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B11FB1" w:rsidRDefault="005D3A2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  <w:r>
        <w:rPr>
          <w:color w:val="000000"/>
        </w:rPr>
        <w:t xml:space="preserve">V případě, že </w:t>
      </w:r>
      <w:proofErr w:type="gramStart"/>
      <w:r>
        <w:rPr>
          <w:color w:val="000000"/>
        </w:rPr>
        <w:t>Pořadatel  poruší</w:t>
      </w:r>
      <w:proofErr w:type="gramEnd"/>
      <w:r>
        <w:rPr>
          <w:color w:val="000000"/>
        </w:rPr>
        <w:t xml:space="preserve"> své povinnosti plynoucí z této smlouvy, má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nárok na odstoupení od smlouvy aniž by zanikl nárok na sjednanou odměnu. 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color w:val="000000"/>
          <w:sz w:val="22"/>
          <w:szCs w:val="22"/>
        </w:rPr>
      </w:pPr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SOUHLAS UMĚLCE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</w:p>
    <w:p w:rsidR="00B11FB1" w:rsidRDefault="005D3A2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za skupinu </w:t>
      </w:r>
      <w:proofErr w:type="spellStart"/>
      <w:r>
        <w:rPr>
          <w:color w:val="000000"/>
        </w:rPr>
        <w:t>Loser</w:t>
      </w:r>
      <w:proofErr w:type="spellEnd"/>
      <w:r>
        <w:rPr>
          <w:color w:val="000000"/>
        </w:rPr>
        <w:t>(s) uděluje souhlas se zobrazením jména a podobizny, zvukového či obrazového záznamu týkajícího se osob skupiny a projevů osobní povahy za účelem propagace představení.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VIII</w:t>
      </w:r>
      <w:r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DŮVĚRNOST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</w:p>
    <w:p w:rsidR="00B11FB1" w:rsidRDefault="005D3A2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>Smluvní strany se zavazují zachovávat mlčenlivost o veškerých údajích v souvislosti se vznikem, podmínkami a realizací této smlouvy. Tyto okolnosti jsou pro účely této smlouvy považovány za předmět obchodního tajemství podle obchodního zákoníku.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2"/>
          <w:szCs w:val="22"/>
        </w:rPr>
      </w:pPr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I</w:t>
      </w:r>
      <w:r>
        <w:rPr>
          <w:b/>
          <w:color w:val="000000"/>
          <w:sz w:val="22"/>
          <w:szCs w:val="22"/>
        </w:rPr>
        <w:t>X.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ZÁVĚREČNÁ USTANOVENÍ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</w:p>
    <w:p w:rsidR="00B11FB1" w:rsidRDefault="005D3A2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>Smluvní strany se dohodly, že práva a povinnosti z této smlouvy se řídí právním řádem České republiky, zejména pak příslušnými ustanoveními zákona č. 89/2012 Sb., občanský zákoník, v platném znění a autorského zákona č. 121/2000 Sb. v platném znění.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B11FB1" w:rsidRDefault="005D3A2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 xml:space="preserve">Umělec se zavazuje, že nebude bez souhlasu producenta poskytovat třetím osobám žádné cenové, kalkulační ani jiné údaje související s plněním této smlouvy, kromě povinností vyplývajících z českých právních předpisů. 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B11FB1" w:rsidRDefault="005D3A2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Strany této smlouvy prohlašují, že mohou uzavřít tuto smlouvu a že jsou schopny konat a plnit dle této smlouvy. Strany této smlouvy se zavazují, že neučiní žádné právní úkony, ze kterých by vznikly nebo mohly vzniknout závazky v rozporu s touto smlouvou či jejím plněním, anebo by tuto smlouvu obcházely. 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B11FB1" w:rsidRDefault="005D3A2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 xml:space="preserve">Neplatnost některého smluvního ustanovení nemá za následek neplatnost celé smlouvy, pokud se nejedná o skutečnost, se kterou zákon spojuje takové účinky. 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B11FB1" w:rsidRDefault="005D3A2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>Smlouva je vyhotovena ve dvou stejnopisech, z nichž každá ze smluvních stran obdrží po jednom.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B11FB1" w:rsidRDefault="005D3A2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>Smlouva nabývá účinnosti dnem podpisu oběma smluvními stranami.</w:t>
      </w:r>
      <w:r>
        <w:rPr>
          <w:color w:val="000000"/>
        </w:rPr>
        <w:br/>
      </w:r>
    </w:p>
    <w:p w:rsidR="00B11FB1" w:rsidRDefault="005D3A29">
      <w:pPr>
        <w:numPr>
          <w:ilvl w:val="0"/>
          <w:numId w:val="4"/>
        </w:numPr>
        <w:jc w:val="both"/>
      </w:pPr>
      <w:r>
        <w:t xml:space="preserve">Smlouva nabývá platnosti dnem zapsání do Registru smluv. </w:t>
      </w:r>
      <w:r>
        <w:br/>
        <w:t xml:space="preserve">Vzhledem k právní povaze </w:t>
      </w:r>
      <w:proofErr w:type="spellStart"/>
      <w:r>
        <w:t>Pořadetele</w:t>
      </w:r>
      <w:proofErr w:type="spellEnd"/>
      <w:r>
        <w:t xml:space="preserve"> podléhá tato smlouva uveřejnění v registru smluv dle zák. č. 340/2015 Sb., o zvláštních podmínkách účinnosti některých smluv, uveřejňování těchto smluv a o registru smluv (zákon o registru smluv). United </w:t>
      </w:r>
      <w:proofErr w:type="spellStart"/>
      <w:r>
        <w:t>Arts</w:t>
      </w:r>
      <w:proofErr w:type="spellEnd"/>
      <w:r>
        <w:t xml:space="preserve"> a Pořadatel sjednávají, že smlouvu v registru smluv uveřejní Pořadatel. Údaje v IV. FINANČNÍ UJEDNÁNÍ, bod 1. jsou neveřejné. 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B11FB1" w:rsidRDefault="005D3A2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  <w:r>
        <w:rPr>
          <w:color w:val="000000"/>
        </w:rPr>
        <w:t>Veškeré změny nebo doplňky této smlouvy musí být učiněny písemnou formou a se souhlasem obou smluvních stran.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B11FB1" w:rsidRDefault="005D3A2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Na důkaz souhlasu se skutečnostmi shora uvedenými připojují smluvní strany níže své vlastnoruční podpisy.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2"/>
          <w:szCs w:val="22"/>
        </w:rPr>
      </w:pPr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X.</w:t>
      </w:r>
    </w:p>
    <w:p w:rsidR="00B11FB1" w:rsidRDefault="005D3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SEZNAM PŘÍLOH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</w:p>
    <w:p w:rsidR="00B11FB1" w:rsidRDefault="005D3A29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  <w:r>
        <w:rPr>
          <w:color w:val="000000"/>
        </w:rPr>
        <w:t xml:space="preserve">Technický </w:t>
      </w:r>
      <w:proofErr w:type="spellStart"/>
      <w:r>
        <w:rPr>
          <w:color w:val="000000"/>
        </w:rPr>
        <w:t>rider</w:t>
      </w:r>
      <w:proofErr w:type="spellEnd"/>
      <w:r>
        <w:rPr>
          <w:color w:val="000000"/>
        </w:rPr>
        <w:t xml:space="preserve"> k představení</w:t>
      </w: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</w:p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2"/>
          <w:szCs w:val="22"/>
        </w:rPr>
      </w:pPr>
    </w:p>
    <w:tbl>
      <w:tblPr>
        <w:tblStyle w:val="StGen0"/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B11FB1">
        <w:tc>
          <w:tcPr>
            <w:tcW w:w="4606" w:type="dxa"/>
          </w:tcPr>
          <w:p w:rsidR="00B11FB1" w:rsidRDefault="005D3A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 Praze dne: </w:t>
            </w:r>
            <w:proofErr w:type="gramStart"/>
            <w:r w:rsidR="008509C6">
              <w:rPr>
                <w:color w:val="000000"/>
                <w:sz w:val="22"/>
                <w:szCs w:val="22"/>
              </w:rPr>
              <w:t>24.11.2022</w:t>
            </w:r>
            <w:proofErr w:type="gramEnd"/>
          </w:p>
        </w:tc>
        <w:tc>
          <w:tcPr>
            <w:tcW w:w="4606" w:type="dxa"/>
          </w:tcPr>
          <w:p w:rsidR="00B11FB1" w:rsidRDefault="005D3A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 Novém </w:t>
            </w:r>
            <w:proofErr w:type="gramStart"/>
            <w:r>
              <w:rPr>
                <w:color w:val="000000"/>
                <w:sz w:val="22"/>
                <w:szCs w:val="22"/>
              </w:rPr>
              <w:t>Jičíně  dne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: </w:t>
            </w:r>
            <w:proofErr w:type="gramStart"/>
            <w:r w:rsidR="008509C6">
              <w:rPr>
                <w:color w:val="000000"/>
                <w:sz w:val="22"/>
                <w:szCs w:val="22"/>
              </w:rPr>
              <w:t>24.11.2022</w:t>
            </w:r>
            <w:proofErr w:type="gramEnd"/>
          </w:p>
        </w:tc>
      </w:tr>
      <w:tr w:rsidR="00B11FB1">
        <w:tc>
          <w:tcPr>
            <w:tcW w:w="4606" w:type="dxa"/>
          </w:tcPr>
          <w:p w:rsidR="00B11FB1" w:rsidRDefault="005D3A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Zdeněk Moravec (United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Arts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4606" w:type="dxa"/>
          </w:tcPr>
          <w:p w:rsidR="00B11FB1" w:rsidRDefault="005D3A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Mgr. Pavel Bártek</w:t>
            </w:r>
            <w:r>
              <w:rPr>
                <w:b/>
                <w:color w:val="000000"/>
                <w:sz w:val="22"/>
                <w:szCs w:val="22"/>
              </w:rPr>
              <w:t xml:space="preserve"> (Pořadatel)</w:t>
            </w:r>
          </w:p>
        </w:tc>
      </w:tr>
      <w:tr w:rsidR="00B11FB1">
        <w:tc>
          <w:tcPr>
            <w:tcW w:w="4606" w:type="dxa"/>
          </w:tcPr>
          <w:p w:rsidR="00B11FB1" w:rsidRDefault="00B11F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</w:p>
          <w:p w:rsidR="00B11FB1" w:rsidRDefault="00B11F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</w:p>
          <w:p w:rsidR="00B11FB1" w:rsidRDefault="005D3A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</w:t>
            </w:r>
          </w:p>
        </w:tc>
        <w:tc>
          <w:tcPr>
            <w:tcW w:w="4606" w:type="dxa"/>
          </w:tcPr>
          <w:p w:rsidR="00B11FB1" w:rsidRDefault="00B11F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</w:p>
          <w:p w:rsidR="00B11FB1" w:rsidRDefault="00B11F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</w:p>
          <w:p w:rsidR="00B11FB1" w:rsidRDefault="005D3A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</w:t>
            </w:r>
          </w:p>
        </w:tc>
      </w:tr>
      <w:tr w:rsidR="00B11FB1">
        <w:tc>
          <w:tcPr>
            <w:tcW w:w="4606" w:type="dxa"/>
          </w:tcPr>
          <w:p w:rsidR="00B11FB1" w:rsidRDefault="005D3A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Podpis </w:t>
            </w:r>
          </w:p>
        </w:tc>
        <w:tc>
          <w:tcPr>
            <w:tcW w:w="4606" w:type="dxa"/>
          </w:tcPr>
          <w:p w:rsidR="00B11FB1" w:rsidRDefault="005D3A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Podpis</w:t>
            </w:r>
          </w:p>
        </w:tc>
      </w:tr>
    </w:tbl>
    <w:p w:rsidR="00B11FB1" w:rsidRDefault="00B11F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</w:p>
    <w:sectPr w:rsidR="00B11FB1">
      <w:footerReference w:type="default" r:id="rId8"/>
      <w:pgSz w:w="11906" w:h="16838"/>
      <w:pgMar w:top="1417" w:right="1417" w:bottom="1417" w:left="1417" w:header="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FAC" w:rsidRDefault="00E27FAC">
      <w:r>
        <w:separator/>
      </w:r>
    </w:p>
  </w:endnote>
  <w:endnote w:type="continuationSeparator" w:id="0">
    <w:p w:rsidR="00E27FAC" w:rsidRDefault="00E2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B1" w:rsidRDefault="005D3A2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509C6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B11FB1" w:rsidRDefault="00B11FB1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after="708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FAC" w:rsidRDefault="00E27FAC">
      <w:r>
        <w:separator/>
      </w:r>
    </w:p>
  </w:footnote>
  <w:footnote w:type="continuationSeparator" w:id="0">
    <w:p w:rsidR="00E27FAC" w:rsidRDefault="00E27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F6B"/>
    <w:multiLevelType w:val="hybridMultilevel"/>
    <w:tmpl w:val="9B86CCB6"/>
    <w:lvl w:ilvl="0" w:tplc="13C6EB28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184A337C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 w:tplc="721CFA24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 w:tplc="BD46D3F8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 w:tplc="5F3CE626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 w:tplc="BD8887FE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 w:tplc="C0F6595E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 w:tplc="07A23FA4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 w:tplc="FE7CA136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038374AB"/>
    <w:multiLevelType w:val="multilevel"/>
    <w:tmpl w:val="A6A4900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>
    <w:nsid w:val="062D2617"/>
    <w:multiLevelType w:val="hybridMultilevel"/>
    <w:tmpl w:val="CFEC4F36"/>
    <w:lvl w:ilvl="0" w:tplc="5C78F9B8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9A485E90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 w:tplc="47B8EE24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 w:tplc="6E18F732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 w:tplc="E96A159E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 w:tplc="C38C49C0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 w:tplc="C21A1528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 w:tplc="FA66B14C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 w:tplc="2CFE6D42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0F8E0041"/>
    <w:multiLevelType w:val="hybridMultilevel"/>
    <w:tmpl w:val="EA66FB84"/>
    <w:lvl w:ilvl="0" w:tplc="9D66E65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480A0CF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707CC3E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95AC918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370EA32E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C3C044EE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E1BA1734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ABCE8B24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71182676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1CB87406"/>
    <w:multiLevelType w:val="multilevel"/>
    <w:tmpl w:val="B35C5FF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">
    <w:nsid w:val="3F253C72"/>
    <w:multiLevelType w:val="multilevel"/>
    <w:tmpl w:val="C91852C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42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6">
    <w:nsid w:val="54975E09"/>
    <w:multiLevelType w:val="hybridMultilevel"/>
    <w:tmpl w:val="73B2FD92"/>
    <w:lvl w:ilvl="0" w:tplc="67465B36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BD448D42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 w:tplc="7E7612DA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 w:tplc="7A8E2C80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 w:tplc="9C862BC0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 w:tplc="E0D297C0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 w:tplc="2DD49D8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 w:tplc="89EA4ADE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 w:tplc="988CB38C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>
    <w:nsid w:val="59054CEE"/>
    <w:multiLevelType w:val="hybridMultilevel"/>
    <w:tmpl w:val="04823752"/>
    <w:lvl w:ilvl="0" w:tplc="CAB2992E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E0A4B0B2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 w:tplc="1458EC28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 w:tplc="6D06EE72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 w:tplc="23B09D5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 w:tplc="3B3A917C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 w:tplc="CD2EEF5E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 w:tplc="A14C501C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 w:tplc="C73854A0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>
    <w:nsid w:val="62873037"/>
    <w:multiLevelType w:val="multilevel"/>
    <w:tmpl w:val="03D4199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42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9">
    <w:nsid w:val="7BB118FD"/>
    <w:multiLevelType w:val="multilevel"/>
    <w:tmpl w:val="15223398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42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B1"/>
    <w:rsid w:val="005D3A29"/>
    <w:rsid w:val="00637860"/>
    <w:rsid w:val="008509C6"/>
    <w:rsid w:val="00B11FB1"/>
    <w:rsid w:val="00E2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link w:val="Nadpis6Char"/>
    <w:pPr>
      <w:keepNext/>
      <w:keepLines/>
      <w:spacing w:before="200" w:after="40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lntabulka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lntabulka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Normlntabulka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link w:val="Podtitul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link w:val="Nadpis6Char"/>
    <w:pPr>
      <w:keepNext/>
      <w:keepLines/>
      <w:spacing w:before="200" w:after="40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lntabulka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lntabulka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Normlntabulka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link w:val="Podtitul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1265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Kožušková</dc:creator>
  <cp:lastModifiedBy>Milena Kožušková</cp:lastModifiedBy>
  <cp:revision>3</cp:revision>
  <dcterms:created xsi:type="dcterms:W3CDTF">2022-12-19T09:37:00Z</dcterms:created>
  <dcterms:modified xsi:type="dcterms:W3CDTF">2022-12-19T09:41:00Z</dcterms:modified>
</cp:coreProperties>
</file>