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03FDF2F1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5B773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2023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00589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Karlovy Vary, příspěvková organizace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17. listopadu 710/12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05 Karlovy Vary, Rybáře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00077135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CZ00077135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5F92FD3B" w:rsidR="00C86C89" w:rsidRPr="00FF1B09" w:rsidRDefault="006B6D62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14677135/0300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451CEEBA" w:rsidR="00D10E3C" w:rsidRPr="005647A6" w:rsidRDefault="006B6D62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XXXXXXXXXXXXXXXXXXXXXX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19A788BC" w:rsidR="00F677D3" w:rsidRPr="00F677D3" w:rsidRDefault="006B6D62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XXXXXXXXXXXXXXXXXXX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Ing. Bc. Markéta Šlechtová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uměleckoprůmyslová škola keramická a sklářská  Karlovy Vary, příspěvková organizace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17. listopadu 710/12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05 Karlovy Vary, Rybáře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KAREL HOLOUBEK – </w:t>
            </w:r>
            <w:proofErr w:type="spellStart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Trade</w:t>
            </w:r>
            <w:proofErr w:type="spellEnd"/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P-0300-020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gramStart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nám.17</w:t>
            </w:r>
            <w:proofErr w:type="gramEnd"/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.listopadu 710/12, SUPŠKS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nám. 17. listopadu 710/12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05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Teplo z prim. </w:t>
            </w: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rozvodů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</w:t>
            </w:r>
            <w:proofErr w:type="gramEnd"/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jímce č. 3Jo42-1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316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  <w:proofErr w:type="spellEnd"/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  <w:proofErr w:type="spellEnd"/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1,832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3 – odstavení ohřevu TUV a bazénů, služby sníží odběr na technologické účely o </w:t>
            </w:r>
            <w:proofErr w:type="gramStart"/>
            <w:r w:rsidRPr="00BB445E">
              <w:rPr>
                <w:rFonts w:ascii="Arial" w:hAnsi="Arial" w:cs="Arial"/>
                <w:sz w:val="16"/>
                <w:szCs w:val="16"/>
              </w:rPr>
              <w:t>20%</w:t>
            </w:r>
            <w:proofErr w:type="gramEnd"/>
            <w:r w:rsidRPr="00BB445E">
              <w:rPr>
                <w:rFonts w:ascii="Arial" w:hAnsi="Arial" w:cs="Arial"/>
                <w:sz w:val="16"/>
                <w:szCs w:val="16"/>
              </w:rPr>
              <w:t xml:space="preserve">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proofErr w:type="gramStart"/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01.01.2023</w:t>
            </w:r>
            <w:proofErr w:type="gramEnd"/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Ing. Bc. Markéta Šlechtová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64B455A7" w:rsidR="00C86A3A" w:rsidRDefault="006B6D6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530A491" w:rsidR="00C86A3A" w:rsidRDefault="006B6D6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</w:tr>
            <w:tr w:rsidR="00C86A3A" w14:paraId="1DCCED3C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F48A5A" w14:textId="14740C8D" w:rsidR="00C86A3A" w:rsidRDefault="00EE2B37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86C6B45" w14:textId="2BE5F492" w:rsidR="00C86A3A" w:rsidRDefault="00EE2B37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225C285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4841ECB" w14:textId="272EA481" w:rsidR="00C86A3A" w:rsidRDefault="006B6D6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1B9E2A64" w14:textId="64513AA4" w:rsidR="00C86A3A" w:rsidRDefault="006B6D62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</w:tr>
            <w:tr w:rsidR="00EE2B37" w14:paraId="0D623BF2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59B5E565" w14:textId="2942B1FA" w:rsidR="00EE2B37" w:rsidRDefault="00EE2B37" w:rsidP="00EE2B3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4707"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322E4249" w14:textId="21075FBB" w:rsidR="00EE2B37" w:rsidRDefault="00EE2B37" w:rsidP="00EE2B3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4707"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33B1C842" w14:textId="77777777" w:rsidR="00EE2B37" w:rsidRDefault="00EE2B37" w:rsidP="00EE2B3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65C485E" w14:textId="01AD41F1" w:rsidR="00EE2B37" w:rsidRDefault="00EE2B37" w:rsidP="00EE2B3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5D51276C" w14:textId="0BAC2D4F" w:rsidR="00EE2B37" w:rsidRDefault="00EE2B37" w:rsidP="00EE2B37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Trade</w:t>
      </w:r>
      <w:proofErr w:type="spellEnd"/>
      <w:r w:rsidRPr="00963327">
        <w:rPr>
          <w:rFonts w:ascii="Arial" w:hAnsi="Arial" w:cs="Arial"/>
          <w:b/>
          <w:sz w:val="16"/>
          <w:szCs w:val="16"/>
        </w:rPr>
        <w:t xml:space="preserve">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naši datovou schránku: </w:t>
      </w:r>
      <w:proofErr w:type="spellStart"/>
      <w:r w:rsidRPr="00963327">
        <w:rPr>
          <w:rFonts w:ascii="Arial" w:hAnsi="Arial" w:cs="Arial"/>
          <w:b/>
          <w:sz w:val="16"/>
          <w:szCs w:val="16"/>
        </w:rPr>
        <w:t>gvfeqtx</w:t>
      </w:r>
      <w:proofErr w:type="spellEnd"/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13353E44" w:rsidR="00492327" w:rsidRPr="0071056E" w:rsidRDefault="00492327" w:rsidP="006B6D62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6B6D62">
              <w:rPr>
                <w:rFonts w:ascii="Arial" w:hAnsi="Arial" w:cs="Arial"/>
                <w:sz w:val="16"/>
                <w:szCs w:val="16"/>
              </w:rPr>
              <w:t> Karlových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1811F34D" w:rsidR="00492327" w:rsidRPr="0071056E" w:rsidRDefault="006B6D62" w:rsidP="006B6D62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</w:t>
            </w:r>
            <w:r w:rsidR="00492327" w:rsidRPr="0071056E">
              <w:rPr>
                <w:rFonts w:ascii="Arial" w:hAnsi="Arial" w:cs="Arial"/>
                <w:sz w:val="16"/>
                <w:szCs w:val="16"/>
              </w:rPr>
              <w:t>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19.12.2022</w:t>
            </w:r>
            <w:proofErr w:type="gramEnd"/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proofErr w:type="gramStart"/>
            <w:r w:rsidRPr="0071056E">
              <w:rPr>
                <w:rFonts w:ascii="Arial" w:hAnsi="Arial" w:cs="Arial"/>
                <w:bCs/>
                <w:sz w:val="16"/>
                <w:szCs w:val="16"/>
              </w:rPr>
              <w:t>15.12.2022</w:t>
            </w:r>
            <w:proofErr w:type="gramEnd"/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63A11E80" w14:textId="77777777" w:rsidR="004D2079" w:rsidRDefault="004D2079"/>
    <w:sectPr w:rsidR="004D2079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CF5FD" w14:textId="77777777" w:rsidR="004B3C06" w:rsidRDefault="004B3C06" w:rsidP="00C8487C">
      <w:pPr>
        <w:spacing w:after="0" w:line="240" w:lineRule="auto"/>
      </w:pPr>
      <w:r>
        <w:separator/>
      </w:r>
    </w:p>
  </w:endnote>
  <w:endnote w:type="continuationSeparator" w:id="0">
    <w:p w14:paraId="1AD40148" w14:textId="77777777" w:rsidR="004B3C06" w:rsidRDefault="004B3C06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51A8" w14:textId="77777777" w:rsidR="004B3C06" w:rsidRDefault="004B3C06" w:rsidP="00C8487C">
      <w:pPr>
        <w:spacing w:after="0" w:line="240" w:lineRule="auto"/>
      </w:pPr>
      <w:r>
        <w:separator/>
      </w:r>
    </w:p>
  </w:footnote>
  <w:footnote w:type="continuationSeparator" w:id="0">
    <w:p w14:paraId="2E99A965" w14:textId="77777777" w:rsidR="004B3C06" w:rsidRDefault="004B3C06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3C06"/>
    <w:rsid w:val="004B7C54"/>
    <w:rsid w:val="004C004D"/>
    <w:rsid w:val="004D2079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B6D62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74F8F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22B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2B37"/>
    <w:rsid w:val="00EE5224"/>
    <w:rsid w:val="00EF751B"/>
    <w:rsid w:val="00F10480"/>
    <w:rsid w:val="00F21D95"/>
    <w:rsid w:val="00F24936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Loulová Lucie</cp:lastModifiedBy>
  <cp:revision>4</cp:revision>
  <dcterms:created xsi:type="dcterms:W3CDTF">2022-12-19T07:56:00Z</dcterms:created>
  <dcterms:modified xsi:type="dcterms:W3CDTF">2022-12-19T08:03:00Z</dcterms:modified>
</cp:coreProperties>
</file>