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0055BCB3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>BJEDNÁVKA č.</w:t>
            </w:r>
            <w:r w:rsidR="00980434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 </w:t>
            </w:r>
            <w:r w:rsidR="003C0CD7">
              <w:rPr>
                <w:rFonts w:cs="Georgia"/>
                <w:b/>
                <w:bCs/>
                <w:color w:val="000000"/>
                <w:sz w:val="43"/>
                <w:szCs w:val="43"/>
              </w:rPr>
              <w:t>467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870D3A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E08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970E08" w:rsidRPr="00651FA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73308ABF" w:rsidR="00970E08" w:rsidRPr="009A22A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proofErr w:type="gramStart"/>
            <w:r w:rsidRPr="00F907F7">
              <w:rPr>
                <w:rFonts w:cs="Georgia"/>
                <w:b/>
                <w:bCs/>
                <w:color w:val="000000"/>
              </w:rPr>
              <w:t>ČD - Telematika</w:t>
            </w:r>
            <w:proofErr w:type="gramEnd"/>
            <w:r w:rsidRPr="00F907F7">
              <w:rPr>
                <w:rFonts w:cs="Georgia"/>
                <w:b/>
                <w:bCs/>
                <w:color w:val="000000"/>
              </w:rPr>
              <w:t xml:space="preserve"> a.s.</w:t>
            </w:r>
          </w:p>
        </w:tc>
      </w:tr>
      <w:tr w:rsidR="00970E08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970E08" w:rsidRPr="00566F6C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05F3877" w14:textId="745B0C6E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Pernerova 2819/</w:t>
            </w:r>
            <w:proofErr w:type="gramStart"/>
            <w:r w:rsidRPr="00F907F7">
              <w:rPr>
                <w:rFonts w:cs="Georgia"/>
                <w:bCs/>
                <w:color w:val="000000"/>
              </w:rPr>
              <w:t>2a</w:t>
            </w:r>
            <w:proofErr w:type="gramEnd"/>
          </w:p>
        </w:tc>
      </w:tr>
      <w:tr w:rsidR="00970E08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970E08" w:rsidRPr="00EF5B87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1DD957C0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130 00 Praha 3</w:t>
            </w:r>
          </w:p>
        </w:tc>
      </w:tr>
      <w:tr w:rsidR="00970E08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970E08" w:rsidRPr="00BC6B0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26EA1D8D" w:rsidR="00970E08" w:rsidRPr="00AF7E54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1834B100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4D198C">
              <w:rPr>
                <w:rFonts w:cs="Georgia"/>
                <w:bCs/>
                <w:color w:val="000000"/>
              </w:rPr>
              <w:t>CZ</w:t>
            </w:r>
            <w:r w:rsidR="00F907F7" w:rsidRPr="00F907F7">
              <w:rPr>
                <w:rFonts w:cs="Georgia"/>
                <w:bCs/>
                <w:color w:val="000000"/>
              </w:rPr>
              <w:t>61459445</w:t>
            </w:r>
          </w:p>
        </w:tc>
      </w:tr>
      <w:tr w:rsidR="00970E08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4E9B4575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Plátce DPH</w:t>
            </w:r>
          </w:p>
        </w:tc>
      </w:tr>
      <w:tr w:rsidR="00970E08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062A5C06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20685E2A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970E08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68BE3C8E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7EA73703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970E08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5A56F769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205B0DF1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970E08" w:rsidRPr="00E24129" w14:paraId="25614343" w14:textId="77777777" w:rsidTr="00A22DC1">
        <w:trPr>
          <w:cantSplit/>
          <w:trHeight w:val="309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970E08" w:rsidRPr="00D67FF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11A61506" w:rsidR="00970E08" w:rsidRPr="000563D1" w:rsidRDefault="00351453" w:rsidP="00351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5968B0A0" w:rsidR="00970E08" w:rsidRPr="00AF7E54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 xml:space="preserve">E-mail: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18550977" w:rsidR="00970E08" w:rsidRPr="00AF7E54" w:rsidRDefault="00351453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</w:t>
            </w:r>
          </w:p>
        </w:tc>
      </w:tr>
      <w:tr w:rsidR="00670F35" w:rsidRPr="00E24129" w14:paraId="0ADA6F16" w14:textId="77777777" w:rsidTr="00980434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643A76FE" w14:textId="2E139504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Zapsána v OR pod</w:t>
            </w:r>
          </w:p>
          <w:p w14:paraId="31F3C770" w14:textId="77777777" w:rsidR="00970E08" w:rsidRPr="00970E08" w:rsidRDefault="00970E08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970E08">
              <w:rPr>
                <w:rFonts w:cs="Georgia"/>
                <w:color w:val="000000"/>
              </w:rPr>
              <w:t>Spisová značka:</w:t>
            </w:r>
          </w:p>
          <w:p w14:paraId="0CBB5C8E" w14:textId="215FD42E" w:rsidR="00DA0419" w:rsidRPr="00816AA2" w:rsidRDefault="00F907F7" w:rsidP="0097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F907F7">
              <w:rPr>
                <w:rFonts w:cs="Georgia"/>
                <w:color w:val="000000"/>
              </w:rPr>
              <w:t>B 8938 vedená u Městského soudu v Praze</w:t>
            </w: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7781F879" w14:textId="77777777" w:rsidR="0098229D" w:rsidRPr="00694B24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b/>
                <w:bCs/>
                <w:color w:val="000000"/>
              </w:rPr>
              <w:t>Objednáváme u Vás:</w:t>
            </w:r>
          </w:p>
          <w:p w14:paraId="6936A70C" w14:textId="4CE1E1C8" w:rsidR="00BA342E" w:rsidRPr="00694B24" w:rsidRDefault="00BA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94B24">
              <w:rPr>
                <w:rFonts w:asciiTheme="minorHAnsi" w:hAnsiTheme="minorHAnsi" w:cstheme="minorHAnsi"/>
                <w:lang w:eastAsia="en-US"/>
              </w:rPr>
              <w:t xml:space="preserve">služby využívající existující pevné datové okruhy s garantovaným oddělením od sítě internet a vysokou mírou bezpečnosti, přímo dostupné pomocí optických datových linek z hlavního pracoviště ŘVC ČR a perspektivou využívání vlastních vysokokapacitních bezpečných linek nebo kabelových tras v majetku státu </w:t>
            </w:r>
            <w:r w:rsidR="00A619E8" w:rsidRPr="00694B24">
              <w:rPr>
                <w:rFonts w:asciiTheme="minorHAnsi" w:hAnsiTheme="minorHAnsi" w:cstheme="minorHAnsi"/>
                <w:lang w:eastAsia="en-US"/>
              </w:rPr>
              <w:t>v souvislosti se zajištěním a provozem</w:t>
            </w:r>
            <w:r w:rsidRPr="00694B24">
              <w:rPr>
                <w:rFonts w:asciiTheme="minorHAnsi" w:hAnsiTheme="minorHAnsi" w:cstheme="minorHAnsi"/>
                <w:lang w:eastAsia="en-US"/>
              </w:rPr>
              <w:t> infrastruktur</w:t>
            </w:r>
            <w:r w:rsidR="00A619E8" w:rsidRPr="00694B24">
              <w:rPr>
                <w:rFonts w:asciiTheme="minorHAnsi" w:hAnsiTheme="minorHAnsi" w:cstheme="minorHAnsi"/>
                <w:lang w:eastAsia="en-US"/>
              </w:rPr>
              <w:t>y</w:t>
            </w:r>
            <w:r w:rsidRPr="00694B24">
              <w:rPr>
                <w:rFonts w:asciiTheme="minorHAnsi" w:hAnsiTheme="minorHAnsi" w:cstheme="minorHAnsi"/>
                <w:lang w:eastAsia="en-US"/>
              </w:rPr>
              <w:t xml:space="preserve"> vodních cest nacházející se na Labi a Vltavě, resp. </w:t>
            </w:r>
            <w:r w:rsidR="00A619E8" w:rsidRPr="00694B24">
              <w:rPr>
                <w:rFonts w:asciiTheme="minorHAnsi" w:hAnsiTheme="minorHAnsi" w:cstheme="minorHAnsi"/>
                <w:lang w:eastAsia="en-US"/>
              </w:rPr>
              <w:t>s blízkou</w:t>
            </w:r>
            <w:r w:rsidRPr="00694B24">
              <w:rPr>
                <w:rFonts w:asciiTheme="minorHAnsi" w:hAnsiTheme="minorHAnsi" w:cstheme="minorHAnsi"/>
                <w:lang w:eastAsia="en-US"/>
              </w:rPr>
              <w:t xml:space="preserve"> dostupností pro položení</w:t>
            </w:r>
            <w:r w:rsidR="00A619E8" w:rsidRPr="00694B24">
              <w:rPr>
                <w:rFonts w:asciiTheme="minorHAnsi" w:hAnsiTheme="minorHAnsi" w:cstheme="minorHAnsi"/>
                <w:lang w:eastAsia="en-US"/>
              </w:rPr>
              <w:t xml:space="preserve"> a připojení</w:t>
            </w:r>
            <w:r w:rsidRPr="00694B24">
              <w:rPr>
                <w:rFonts w:asciiTheme="minorHAnsi" w:hAnsiTheme="minorHAnsi" w:cstheme="minorHAnsi"/>
                <w:lang w:eastAsia="en-US"/>
              </w:rPr>
              <w:t xml:space="preserve"> vlastních kabelových tras ŘVC ČR</w:t>
            </w:r>
            <w:r w:rsidR="00A619E8" w:rsidRPr="00694B24">
              <w:rPr>
                <w:rFonts w:asciiTheme="minorHAnsi" w:hAnsiTheme="minorHAnsi" w:cstheme="minorHAnsi"/>
                <w:lang w:eastAsia="en-US"/>
              </w:rPr>
              <w:t xml:space="preserve"> a dále komplexní řešení pro umístění infrastruktury pro technologie služeb RIS a technologie provozu infrastruktury provozované ŘVC ČR, vč. řízení přístupu externích uživatelů, které bude zajištěno s vysokou mírou spolehlivosti, kybernetické bezpečnosti a dostupnosti z prostředí vně ŘVC ČR.</w:t>
            </w:r>
          </w:p>
        </w:tc>
      </w:tr>
      <w:tr w:rsidR="0098229D" w:rsidRPr="000F53D1" w14:paraId="297EA611" w14:textId="77777777" w:rsidTr="008300DE">
        <w:trPr>
          <w:cantSplit/>
          <w:trHeight w:val="540"/>
        </w:trPr>
        <w:tc>
          <w:tcPr>
            <w:tcW w:w="10495" w:type="dxa"/>
            <w:gridSpan w:val="2"/>
            <w:vAlign w:val="bottom"/>
          </w:tcPr>
          <w:p w14:paraId="6FD4B967" w14:textId="77777777" w:rsidR="008300DE" w:rsidRPr="00694B24" w:rsidRDefault="00870D3A" w:rsidP="00C5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 xml:space="preserve">na základě Vaší nabídky ze dne </w:t>
            </w:r>
            <w:r w:rsidR="00271DA8" w:rsidRPr="00694B24">
              <w:rPr>
                <w:rFonts w:asciiTheme="minorHAnsi" w:hAnsiTheme="minorHAnsi" w:cstheme="minorHAnsi"/>
              </w:rPr>
              <w:t>12. 12</w:t>
            </w:r>
            <w:r w:rsidRPr="00694B24">
              <w:rPr>
                <w:rFonts w:asciiTheme="minorHAnsi" w:hAnsiTheme="minorHAnsi" w:cstheme="minorHAnsi"/>
              </w:rPr>
              <w:t xml:space="preserve">. 2022 </w:t>
            </w:r>
            <w:r w:rsidR="00271DA8" w:rsidRPr="00694B24">
              <w:rPr>
                <w:rFonts w:asciiTheme="minorHAnsi" w:hAnsiTheme="minorHAnsi" w:cstheme="minorHAnsi"/>
              </w:rPr>
              <w:t>Nabídka telekomunikačních služeb</w:t>
            </w:r>
          </w:p>
          <w:p w14:paraId="42A737A2" w14:textId="77777777" w:rsidR="00070630" w:rsidRPr="00694B24" w:rsidRDefault="00070630" w:rsidP="00070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>1. ČDT Internet 300 Mbps</w:t>
            </w:r>
          </w:p>
          <w:p w14:paraId="240E0B49" w14:textId="77777777" w:rsidR="00070630" w:rsidRPr="00694B24" w:rsidRDefault="00070630" w:rsidP="00070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>2. DDOS ochrana 300 Mbps</w:t>
            </w:r>
          </w:p>
          <w:p w14:paraId="49D3A34B" w14:textId="77777777" w:rsidR="00070630" w:rsidRPr="00694B24" w:rsidRDefault="00070630" w:rsidP="00070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>3. Datový okruh DC ČDT – MD</w:t>
            </w:r>
          </w:p>
          <w:p w14:paraId="572C61CA" w14:textId="77777777" w:rsidR="00070630" w:rsidRPr="00694B24" w:rsidRDefault="00070630" w:rsidP="00070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 xml:space="preserve">4. ČDT </w:t>
            </w:r>
            <w:proofErr w:type="spellStart"/>
            <w:r w:rsidRPr="00694B24">
              <w:rPr>
                <w:rFonts w:asciiTheme="minorHAnsi" w:hAnsiTheme="minorHAnsi" w:cstheme="minorHAnsi"/>
              </w:rPr>
              <w:t>Serverhousing</w:t>
            </w:r>
            <w:proofErr w:type="spellEnd"/>
            <w:r w:rsidRPr="00694B24">
              <w:rPr>
                <w:rFonts w:asciiTheme="minorHAnsi" w:hAnsiTheme="minorHAnsi" w:cstheme="minorHAnsi"/>
              </w:rPr>
              <w:t xml:space="preserve"> (2 x </w:t>
            </w:r>
            <w:proofErr w:type="spellStart"/>
            <w:r w:rsidRPr="00694B24">
              <w:rPr>
                <w:rFonts w:asciiTheme="minorHAnsi" w:hAnsiTheme="minorHAnsi" w:cstheme="minorHAnsi"/>
              </w:rPr>
              <w:t>rack</w:t>
            </w:r>
            <w:proofErr w:type="spellEnd"/>
            <w:r w:rsidRPr="00694B24">
              <w:rPr>
                <w:rFonts w:asciiTheme="minorHAnsi" w:hAnsiTheme="minorHAnsi" w:cstheme="minorHAnsi"/>
              </w:rPr>
              <w:t xml:space="preserve"> bez elektřiny)</w:t>
            </w:r>
          </w:p>
          <w:p w14:paraId="1A36E726" w14:textId="77777777" w:rsidR="00070630" w:rsidRPr="00694B24" w:rsidRDefault="00070630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>5. Externí perimetr</w:t>
            </w:r>
          </w:p>
          <w:p w14:paraId="52412D96" w14:textId="53292BEB" w:rsidR="00070630" w:rsidRPr="00694B24" w:rsidRDefault="00070630" w:rsidP="00070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94B24">
              <w:rPr>
                <w:rFonts w:asciiTheme="minorHAnsi" w:hAnsiTheme="minorHAnsi" w:cstheme="minorHAnsi"/>
              </w:rPr>
              <w:t xml:space="preserve">s parametry dle nabídky v celkové ceně </w:t>
            </w:r>
            <w:proofErr w:type="gramStart"/>
            <w:r w:rsidRPr="00694B24">
              <w:rPr>
                <w:rFonts w:asciiTheme="minorHAnsi" w:hAnsiTheme="minorHAnsi" w:cstheme="minorHAnsi"/>
              </w:rPr>
              <w:t>84.000,-</w:t>
            </w:r>
            <w:proofErr w:type="gramEnd"/>
            <w:r w:rsidRPr="00694B24">
              <w:rPr>
                <w:rFonts w:asciiTheme="minorHAnsi" w:hAnsiTheme="minorHAnsi" w:cstheme="minorHAnsi"/>
              </w:rPr>
              <w:t xml:space="preserve"> Kč bez DPH / </w:t>
            </w:r>
            <w:proofErr w:type="spellStart"/>
            <w:r w:rsidRPr="00694B24">
              <w:rPr>
                <w:rFonts w:asciiTheme="minorHAnsi" w:hAnsiTheme="minorHAnsi" w:cstheme="minorHAnsi"/>
              </w:rPr>
              <w:t>měs</w:t>
            </w:r>
            <w:proofErr w:type="spellEnd"/>
            <w:r w:rsidRPr="00694B24">
              <w:rPr>
                <w:rFonts w:asciiTheme="minorHAnsi" w:hAnsiTheme="minorHAnsi" w:cstheme="minorHAnsi"/>
              </w:rPr>
              <w:t>. na dobu 3 měsíců s měsíční fakturací</w:t>
            </w:r>
            <w:r w:rsidR="00903CF2">
              <w:rPr>
                <w:rFonts w:asciiTheme="minorHAnsi" w:hAnsiTheme="minorHAnsi" w:cstheme="minorHAnsi"/>
              </w:rPr>
              <w:t>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68D22F54" w:rsidR="00D67FF4" w:rsidRPr="000F53D1" w:rsidRDefault="0098043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980434">
              <w:rPr>
                <w:rFonts w:cs="Arial"/>
                <w:color w:val="000000"/>
                <w:sz w:val="17"/>
                <w:szCs w:val="17"/>
              </w:rPr>
              <w:t>Dodavatel je oprávněn vystavit daňový doklad pouze na základě oprávněnou osobou odběratele odsouhlasené</w:t>
            </w:r>
            <w:r w:rsidR="00313118">
              <w:rPr>
                <w:rFonts w:cs="Arial"/>
                <w:color w:val="000000"/>
                <w:sz w:val="17"/>
                <w:szCs w:val="17"/>
              </w:rPr>
              <w:t>ho předávacího protokolu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objednávky je </w:t>
            </w:r>
            <w:r w:rsidR="00351453" w:rsidRPr="00351453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Pr="00980434">
              <w:rPr>
                <w:rFonts w:cs="Arial"/>
                <w:color w:val="000000"/>
                <w:sz w:val="17"/>
                <w:szCs w:val="17"/>
              </w:rPr>
              <w:t>, referent OSE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 xml:space="preserve"> nebo </w:t>
            </w:r>
            <w:r w:rsidR="00351453" w:rsidRPr="00351453">
              <w:rPr>
                <w:rFonts w:cs="Arial"/>
                <w:color w:val="000000"/>
                <w:sz w:val="17"/>
                <w:szCs w:val="17"/>
              </w:rPr>
              <w:t>XXXXXXXXXXXXXXXXX</w:t>
            </w:r>
            <w:r w:rsidR="00F71724">
              <w:rPr>
                <w:rFonts w:cs="Arial"/>
                <w:color w:val="000000"/>
                <w:sz w:val="17"/>
                <w:szCs w:val="17"/>
              </w:rPr>
              <w:t>, referent OSE</w:t>
            </w:r>
          </w:p>
          <w:p w14:paraId="22FF4638" w14:textId="18C978FA" w:rsidR="00AF7E54" w:rsidRPr="00976DF8" w:rsidRDefault="00313118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>
              <w:rPr>
                <w:rFonts w:cs="Georgia"/>
                <w:b/>
                <w:color w:val="000000"/>
                <w:sz w:val="24"/>
                <w:szCs w:val="24"/>
              </w:rPr>
              <w:t>Odhadovaná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AF7E54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070630">
              <w:rPr>
                <w:rFonts w:cs="Georgia"/>
                <w:b/>
                <w:color w:val="000000"/>
                <w:sz w:val="24"/>
                <w:szCs w:val="24"/>
              </w:rPr>
              <w:t>252.000</w:t>
            </w:r>
            <w:r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2AB694D" w14:textId="4CA25824" w:rsidR="0098229D" w:rsidRPr="00F71724" w:rsidRDefault="00AF7E54" w:rsidP="00F7172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</w:t>
            </w:r>
            <w:r w:rsidR="00F71724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70630">
              <w:rPr>
                <w:rFonts w:cs="Georgia"/>
                <w:b/>
                <w:color w:val="000000"/>
                <w:sz w:val="24"/>
                <w:szCs w:val="24"/>
              </w:rPr>
              <w:t>304.920</w:t>
            </w:r>
            <w:r w:rsidR="008300DE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31311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3773356A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r w:rsidR="00070630">
              <w:rPr>
                <w:rFonts w:cs="Arial"/>
                <w:color w:val="000000"/>
                <w:sz w:val="17"/>
                <w:szCs w:val="17"/>
              </w:rPr>
              <w:t xml:space="preserve"> měsíčně</w:t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7912E385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do 15.3.2023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44DE51B8" w:rsidR="0098229D" w:rsidRPr="00142CB2" w:rsidRDefault="00070630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15.12</w:t>
            </w:r>
            <w:r w:rsidR="00870D3A">
              <w:rPr>
                <w:rFonts w:cs="Georgia"/>
                <w:color w:val="000000"/>
                <w:sz w:val="21"/>
                <w:szCs w:val="21"/>
              </w:rPr>
              <w:t>.2022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007B2648" w:rsidR="0098229D" w:rsidRPr="000F53D1" w:rsidRDefault="00313118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6AF1BBF1" w14:textId="7034DE9D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980434">
        <w:rPr>
          <w:rFonts w:cs="Calibri"/>
          <w:b/>
          <w:bCs/>
        </w:rPr>
        <w:t xml:space="preserve">Plnění bude financováno z: </w:t>
      </w:r>
      <w:r w:rsidR="000A444F">
        <w:t xml:space="preserve">SFDI – neinvestiční výdaje – </w:t>
      </w:r>
      <w:r w:rsidR="000A444F" w:rsidRPr="000A444F">
        <w:t>5005110017</w:t>
      </w:r>
      <w:r w:rsidR="000A444F">
        <w:t xml:space="preserve"> - F1 provoz infrastruktury RIS</w:t>
      </w:r>
    </w:p>
    <w:p w14:paraId="3C9C8071" w14:textId="79E6BF83" w:rsidR="00877ECC" w:rsidRDefault="00877EC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244E08EA" w14:textId="60B8CA74" w:rsidR="00694B24" w:rsidRDefault="00694B24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2C3BAEFD" w14:textId="77777777" w:rsidR="00694B24" w:rsidRDefault="00694B24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Calibri"/>
          <w:b/>
          <w:bCs/>
        </w:rPr>
      </w:pPr>
    </w:p>
    <w:p w14:paraId="56C40D0D" w14:textId="1D32B02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3A359958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2149EA" w14:textId="45942B9A" w:rsidR="00980434" w:rsidRDefault="00980434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605998EC" w14:textId="684C77BD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9A7DFA" w14:textId="77777777" w:rsidR="00877ECC" w:rsidRDefault="00877EC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4EE07590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351453" w:rsidRPr="00351453">
        <w:rPr>
          <w:b/>
          <w:bCs/>
        </w:rPr>
        <w:t>XXXXXXXXXXXXXXXXX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77777777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OSE</w:t>
      </w:r>
      <w:r>
        <w:rPr>
          <w:b/>
          <w:bCs/>
        </w:rPr>
        <w:tab/>
        <w:t>ředitel ŘVC ČR</w:t>
      </w:r>
    </w:p>
    <w:p w14:paraId="247101A6" w14:textId="39DFC460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87D6792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59A34614" w14:textId="77777777" w:rsidR="00877ECC" w:rsidRDefault="00877ECC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1E590F0E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4BACC81C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351453" w:rsidRPr="00351453">
        <w:rPr>
          <w:b/>
          <w:bCs/>
        </w:rPr>
        <w:t>XXXXXXXXXXXXXXXXX</w:t>
      </w:r>
    </w:p>
    <w:p w14:paraId="42143B42" w14:textId="7E832926" w:rsidR="004C54FB" w:rsidRDefault="00670F35" w:rsidP="00F71724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08CEA360" w14:textId="7A5E440E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0D65D768" w14:textId="7585A40B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22F343A4" w14:textId="77777777" w:rsidR="00694B24" w:rsidRDefault="00694B24" w:rsidP="00F71724">
      <w:pPr>
        <w:tabs>
          <w:tab w:val="center" w:pos="5245"/>
        </w:tabs>
        <w:spacing w:after="0" w:line="240" w:lineRule="auto"/>
        <w:ind w:left="2160" w:firstLine="720"/>
      </w:pPr>
    </w:p>
    <w:p w14:paraId="7B3BFBA4" w14:textId="77777777" w:rsidR="00694B24" w:rsidRDefault="00694B24" w:rsidP="00694B24">
      <w:pPr>
        <w:spacing w:after="0"/>
      </w:pPr>
      <w:r>
        <w:t>Za dodavatele převzal a akceptuje:</w:t>
      </w:r>
    </w:p>
    <w:p w14:paraId="4731B7D7" w14:textId="77777777" w:rsidR="00694B24" w:rsidRDefault="00694B24" w:rsidP="00694B24">
      <w:pPr>
        <w:spacing w:after="120"/>
      </w:pPr>
    </w:p>
    <w:p w14:paraId="59669749" w14:textId="77777777" w:rsidR="00694B24" w:rsidRDefault="00694B24" w:rsidP="00694B24">
      <w:pPr>
        <w:spacing w:after="120"/>
      </w:pPr>
      <w:r>
        <w:t>Dne:</w:t>
      </w:r>
    </w:p>
    <w:p w14:paraId="4FC69FBD" w14:textId="77777777" w:rsidR="00694B24" w:rsidRDefault="00694B24" w:rsidP="00694B24">
      <w:pPr>
        <w:spacing w:after="120"/>
      </w:pPr>
    </w:p>
    <w:p w14:paraId="11EAF5CC" w14:textId="77777777" w:rsidR="00694B24" w:rsidRDefault="00694B24" w:rsidP="00694B24">
      <w:pPr>
        <w:spacing w:after="120"/>
      </w:pPr>
    </w:p>
    <w:p w14:paraId="7DE4484E" w14:textId="77777777" w:rsidR="00694B24" w:rsidRDefault="00694B24" w:rsidP="00694B24">
      <w:pPr>
        <w:tabs>
          <w:tab w:val="center" w:pos="5245"/>
        </w:tabs>
        <w:spacing w:after="0" w:line="240" w:lineRule="auto"/>
      </w:pPr>
      <w:r>
        <w:t>Uveřejněno v Registru smluv dne ………………</w:t>
      </w:r>
    </w:p>
    <w:p w14:paraId="46AFF4F5" w14:textId="77777777" w:rsidR="00694B24" w:rsidRPr="004C54FB" w:rsidRDefault="00694B24" w:rsidP="00F71724">
      <w:pPr>
        <w:tabs>
          <w:tab w:val="center" w:pos="5245"/>
        </w:tabs>
        <w:spacing w:after="0" w:line="240" w:lineRule="auto"/>
        <w:ind w:left="2160" w:firstLine="720"/>
        <w:rPr>
          <w:sz w:val="16"/>
          <w:szCs w:val="16"/>
        </w:rPr>
      </w:pPr>
    </w:p>
    <w:sectPr w:rsidR="00694B24" w:rsidRPr="004C54FB" w:rsidSect="00877ECC">
      <w:footerReference w:type="default" r:id="rId8"/>
      <w:pgSz w:w="11903" w:h="16835"/>
      <w:pgMar w:top="1276" w:right="566" w:bottom="1276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5468" w14:textId="77777777" w:rsidR="000F228C" w:rsidRDefault="000F228C">
      <w:pPr>
        <w:spacing w:after="0" w:line="240" w:lineRule="auto"/>
      </w:pPr>
      <w:r>
        <w:separator/>
      </w:r>
    </w:p>
  </w:endnote>
  <w:endnote w:type="continuationSeparator" w:id="0">
    <w:p w14:paraId="1772BFC7" w14:textId="77777777" w:rsidR="000F228C" w:rsidRDefault="000F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0C17" w14:textId="77777777" w:rsidR="000F228C" w:rsidRDefault="000F228C">
      <w:pPr>
        <w:spacing w:after="0" w:line="240" w:lineRule="auto"/>
      </w:pPr>
      <w:r>
        <w:separator/>
      </w:r>
    </w:p>
  </w:footnote>
  <w:footnote w:type="continuationSeparator" w:id="0">
    <w:p w14:paraId="7CD5F582" w14:textId="77777777" w:rsidR="000F228C" w:rsidRDefault="000F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C634831"/>
    <w:multiLevelType w:val="hybridMultilevel"/>
    <w:tmpl w:val="0C20796A"/>
    <w:lvl w:ilvl="0" w:tplc="5156A99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851072">
    <w:abstractNumId w:val="1"/>
  </w:num>
  <w:num w:numId="2" w16cid:durableId="1047685267">
    <w:abstractNumId w:val="0"/>
  </w:num>
  <w:num w:numId="3" w16cid:durableId="66054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12864"/>
    <w:rsid w:val="000255CB"/>
    <w:rsid w:val="00045E9A"/>
    <w:rsid w:val="000477D3"/>
    <w:rsid w:val="000563D1"/>
    <w:rsid w:val="00056FCC"/>
    <w:rsid w:val="00067C02"/>
    <w:rsid w:val="00067CF9"/>
    <w:rsid w:val="00070630"/>
    <w:rsid w:val="00083B76"/>
    <w:rsid w:val="00085BD1"/>
    <w:rsid w:val="00092777"/>
    <w:rsid w:val="00096AFA"/>
    <w:rsid w:val="000A0FEC"/>
    <w:rsid w:val="000A444F"/>
    <w:rsid w:val="000B78F4"/>
    <w:rsid w:val="000D052F"/>
    <w:rsid w:val="000D521B"/>
    <w:rsid w:val="000E1D6A"/>
    <w:rsid w:val="000F228C"/>
    <w:rsid w:val="000F432D"/>
    <w:rsid w:val="000F53D1"/>
    <w:rsid w:val="0010131A"/>
    <w:rsid w:val="001354F5"/>
    <w:rsid w:val="00142CB2"/>
    <w:rsid w:val="00150E23"/>
    <w:rsid w:val="00161027"/>
    <w:rsid w:val="00165917"/>
    <w:rsid w:val="00170DB8"/>
    <w:rsid w:val="00171B65"/>
    <w:rsid w:val="00176811"/>
    <w:rsid w:val="00176EB3"/>
    <w:rsid w:val="00190D93"/>
    <w:rsid w:val="00191D77"/>
    <w:rsid w:val="001A1CF8"/>
    <w:rsid w:val="001A29F8"/>
    <w:rsid w:val="001D0FE1"/>
    <w:rsid w:val="001E5ECB"/>
    <w:rsid w:val="001F0568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1DA8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5756"/>
    <w:rsid w:val="002D437A"/>
    <w:rsid w:val="00313118"/>
    <w:rsid w:val="003347D7"/>
    <w:rsid w:val="0034167F"/>
    <w:rsid w:val="00351453"/>
    <w:rsid w:val="00360C8B"/>
    <w:rsid w:val="00374631"/>
    <w:rsid w:val="003872C4"/>
    <w:rsid w:val="0039145E"/>
    <w:rsid w:val="003A64DD"/>
    <w:rsid w:val="003B25AA"/>
    <w:rsid w:val="003C0CD7"/>
    <w:rsid w:val="003E2D12"/>
    <w:rsid w:val="003E5966"/>
    <w:rsid w:val="003F2364"/>
    <w:rsid w:val="004308AD"/>
    <w:rsid w:val="004336B4"/>
    <w:rsid w:val="00455802"/>
    <w:rsid w:val="0046035B"/>
    <w:rsid w:val="00463B6A"/>
    <w:rsid w:val="00463D83"/>
    <w:rsid w:val="004A292A"/>
    <w:rsid w:val="004C4BD3"/>
    <w:rsid w:val="004C54FB"/>
    <w:rsid w:val="004F1490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928C8"/>
    <w:rsid w:val="005A6748"/>
    <w:rsid w:val="005F1E73"/>
    <w:rsid w:val="00603131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94B24"/>
    <w:rsid w:val="006B2D53"/>
    <w:rsid w:val="006B71F4"/>
    <w:rsid w:val="006C19DA"/>
    <w:rsid w:val="006D47E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906AF"/>
    <w:rsid w:val="007A4ABD"/>
    <w:rsid w:val="007B4B59"/>
    <w:rsid w:val="007F333D"/>
    <w:rsid w:val="007F40AB"/>
    <w:rsid w:val="007F5C8C"/>
    <w:rsid w:val="00805997"/>
    <w:rsid w:val="00816AA2"/>
    <w:rsid w:val="008300DE"/>
    <w:rsid w:val="008302CA"/>
    <w:rsid w:val="00836EC4"/>
    <w:rsid w:val="00840826"/>
    <w:rsid w:val="00844872"/>
    <w:rsid w:val="00850A1C"/>
    <w:rsid w:val="00852A6D"/>
    <w:rsid w:val="00870D3A"/>
    <w:rsid w:val="00877ECC"/>
    <w:rsid w:val="00882612"/>
    <w:rsid w:val="008C6BAA"/>
    <w:rsid w:val="008E4C60"/>
    <w:rsid w:val="00903CF2"/>
    <w:rsid w:val="009532C2"/>
    <w:rsid w:val="00957E22"/>
    <w:rsid w:val="0096143E"/>
    <w:rsid w:val="0096739E"/>
    <w:rsid w:val="00970E08"/>
    <w:rsid w:val="00976DF8"/>
    <w:rsid w:val="00980434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06910"/>
    <w:rsid w:val="00A22369"/>
    <w:rsid w:val="00A30A31"/>
    <w:rsid w:val="00A33837"/>
    <w:rsid w:val="00A43D3F"/>
    <w:rsid w:val="00A44C32"/>
    <w:rsid w:val="00A461FE"/>
    <w:rsid w:val="00A619E8"/>
    <w:rsid w:val="00A72BBE"/>
    <w:rsid w:val="00A74B91"/>
    <w:rsid w:val="00A762E5"/>
    <w:rsid w:val="00A85883"/>
    <w:rsid w:val="00A96809"/>
    <w:rsid w:val="00A978BF"/>
    <w:rsid w:val="00AA7B05"/>
    <w:rsid w:val="00AB08F2"/>
    <w:rsid w:val="00AC4AF0"/>
    <w:rsid w:val="00AC7366"/>
    <w:rsid w:val="00AD0588"/>
    <w:rsid w:val="00AD0A6B"/>
    <w:rsid w:val="00AD533E"/>
    <w:rsid w:val="00AE6150"/>
    <w:rsid w:val="00AF7E54"/>
    <w:rsid w:val="00B04813"/>
    <w:rsid w:val="00B203C6"/>
    <w:rsid w:val="00B4150D"/>
    <w:rsid w:val="00B936BA"/>
    <w:rsid w:val="00BA0791"/>
    <w:rsid w:val="00BA342E"/>
    <w:rsid w:val="00BB050A"/>
    <w:rsid w:val="00BB50D1"/>
    <w:rsid w:val="00BC1A7F"/>
    <w:rsid w:val="00BC6236"/>
    <w:rsid w:val="00BC6B04"/>
    <w:rsid w:val="00BD086A"/>
    <w:rsid w:val="00BD2091"/>
    <w:rsid w:val="00BD6EAD"/>
    <w:rsid w:val="00C0473D"/>
    <w:rsid w:val="00C10375"/>
    <w:rsid w:val="00C12BCD"/>
    <w:rsid w:val="00C37BCE"/>
    <w:rsid w:val="00C520CE"/>
    <w:rsid w:val="00C57CF2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3345D"/>
    <w:rsid w:val="00F54D50"/>
    <w:rsid w:val="00F71724"/>
    <w:rsid w:val="00F71E25"/>
    <w:rsid w:val="00F85F35"/>
    <w:rsid w:val="00F907F7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05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customStyle="1" w:styleId="Default">
    <w:name w:val="Default"/>
    <w:rsid w:val="00870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">
    <w:name w:val="data"/>
    <w:basedOn w:val="Standardnpsmoodstavce"/>
    <w:rsid w:val="00F907F7"/>
  </w:style>
  <w:style w:type="paragraph" w:styleId="Odstavecseseznamem">
    <w:name w:val="List Paragraph"/>
    <w:basedOn w:val="Normln"/>
    <w:uiPriority w:val="34"/>
    <w:qFormat/>
    <w:rsid w:val="00BA342E"/>
    <w:pPr>
      <w:spacing w:after="0" w:line="240" w:lineRule="auto"/>
      <w:ind w:left="720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C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73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7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2022-12-16T18:49:00Z</dcterms:created>
  <dcterms:modified xsi:type="dcterms:W3CDTF">2022-12-16T18:49:00Z</dcterms:modified>
</cp:coreProperties>
</file>