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F32E" w14:textId="77777777" w:rsidR="00A53BCD" w:rsidRPr="00A53BCD" w:rsidRDefault="00A53BCD" w:rsidP="0062712A">
      <w:pPr>
        <w:pStyle w:val="Smluvnistranypreambule"/>
        <w:spacing w:before="120" w:after="120"/>
        <w:jc w:val="center"/>
        <w:rPr>
          <w:rFonts w:cs="Arial"/>
          <w:bCs/>
          <w:kern w:val="28"/>
          <w:szCs w:val="32"/>
        </w:rPr>
      </w:pPr>
      <w:r w:rsidRPr="00A53BCD">
        <w:rPr>
          <w:rFonts w:cs="Arial"/>
          <w:bCs/>
          <w:kern w:val="28"/>
          <w:szCs w:val="32"/>
        </w:rPr>
        <w:t>Dodatek č. 1</w:t>
      </w:r>
    </w:p>
    <w:p w14:paraId="7B71E7CD" w14:textId="2E5C5845" w:rsidR="00A53BCD" w:rsidRPr="00A53BCD" w:rsidRDefault="00A53BCD" w:rsidP="0062712A">
      <w:pPr>
        <w:pStyle w:val="Smluvnistranypreambule"/>
        <w:spacing w:before="120" w:after="120"/>
        <w:jc w:val="center"/>
        <w:rPr>
          <w:rFonts w:cs="Arial"/>
          <w:bCs/>
          <w:kern w:val="28"/>
          <w:szCs w:val="32"/>
        </w:rPr>
      </w:pPr>
      <w:r w:rsidRPr="00A53BCD">
        <w:rPr>
          <w:rFonts w:cs="Arial"/>
          <w:bCs/>
          <w:kern w:val="28"/>
          <w:szCs w:val="32"/>
        </w:rPr>
        <w:t>Ke smlouvě o LIMITACI NÁKLADŮ spojených s hrazením léčivého přípravku</w:t>
      </w:r>
    </w:p>
    <w:p w14:paraId="5BD6973C" w14:textId="78E0C236" w:rsidR="00A53BCD" w:rsidRPr="00A53BCD" w:rsidRDefault="00DD2B27" w:rsidP="0062712A">
      <w:pPr>
        <w:pStyle w:val="Smluvnistranypreambule"/>
        <w:spacing w:before="120" w:after="120"/>
        <w:jc w:val="center"/>
        <w:rPr>
          <w:rFonts w:cs="Arial"/>
          <w:bCs/>
          <w:kern w:val="28"/>
          <w:szCs w:val="32"/>
        </w:rPr>
      </w:pPr>
      <w:r w:rsidRPr="00DD2B27">
        <w:rPr>
          <w:rFonts w:cs="Arial"/>
          <w:bCs/>
          <w:kern w:val="28"/>
          <w:szCs w:val="32"/>
          <w:highlight w:val="black"/>
        </w:rPr>
        <w:t>xxxxxxx</w:t>
      </w:r>
    </w:p>
    <w:p w14:paraId="5274CB10" w14:textId="77777777" w:rsidR="00A53BCD" w:rsidRPr="00A53BCD" w:rsidRDefault="00A53BCD" w:rsidP="0062712A">
      <w:pPr>
        <w:pStyle w:val="Smluvnistranypreambule"/>
        <w:spacing w:before="120" w:after="120"/>
        <w:jc w:val="center"/>
        <w:rPr>
          <w:rFonts w:cs="Arial"/>
          <w:b w:val="0"/>
          <w:caps w:val="0"/>
          <w:kern w:val="28"/>
          <w:szCs w:val="32"/>
        </w:rPr>
      </w:pPr>
      <w:r w:rsidRPr="00A53BCD">
        <w:rPr>
          <w:rFonts w:cs="Arial"/>
          <w:b w:val="0"/>
          <w:caps w:val="0"/>
          <w:kern w:val="28"/>
          <w:szCs w:val="32"/>
        </w:rPr>
        <w:t>(„</w:t>
      </w:r>
      <w:r w:rsidRPr="00A53BCD">
        <w:rPr>
          <w:rFonts w:cs="Arial"/>
          <w:bCs/>
          <w:caps w:val="0"/>
          <w:kern w:val="28"/>
          <w:szCs w:val="32"/>
        </w:rPr>
        <w:t>Dodatek</w:t>
      </w:r>
      <w:r w:rsidRPr="00A53BCD">
        <w:rPr>
          <w:rFonts w:cs="Arial"/>
          <w:b w:val="0"/>
          <w:caps w:val="0"/>
          <w:kern w:val="28"/>
          <w:szCs w:val="32"/>
        </w:rPr>
        <w:t>“)</w:t>
      </w:r>
    </w:p>
    <w:p w14:paraId="3762C562" w14:textId="5A442287" w:rsidR="006913F0" w:rsidRDefault="006913F0" w:rsidP="006913F0">
      <w:pPr>
        <w:pStyle w:val="Smluvnistranypreambule"/>
      </w:pPr>
      <w:r>
        <w:t>Smluvní strany</w:t>
      </w:r>
    </w:p>
    <w:p w14:paraId="0968A9D8" w14:textId="77777777" w:rsidR="00A759AC" w:rsidRPr="00602288" w:rsidRDefault="00A759AC" w:rsidP="00A759AC">
      <w:pPr>
        <w:widowControl w:val="0"/>
        <w:numPr>
          <w:ilvl w:val="0"/>
          <w:numId w:val="26"/>
        </w:numPr>
        <w:rPr>
          <w:b/>
          <w:bCs/>
        </w:rPr>
      </w:pPr>
      <w:r w:rsidRPr="00602288">
        <w:rPr>
          <w:b/>
          <w:bCs/>
        </w:rPr>
        <w:t>Vojenská zdravotní pojišťovna České republiky</w:t>
      </w:r>
    </w:p>
    <w:p w14:paraId="0F488256" w14:textId="77777777" w:rsidR="00A759AC" w:rsidRDefault="00A759AC" w:rsidP="00A759AC">
      <w:pPr>
        <w:pStyle w:val="Text11"/>
        <w:contextualSpacing/>
      </w:pPr>
      <w:r>
        <w:t>Sídlo:</w:t>
      </w:r>
      <w:r w:rsidRPr="0015694A">
        <w:t xml:space="preserve"> </w:t>
      </w:r>
      <w:r>
        <w:t xml:space="preserve">                       Drahobejlova 1404/4, Praha 9</w:t>
      </w:r>
    </w:p>
    <w:p w14:paraId="6BBCDFED" w14:textId="77777777" w:rsidR="00A759AC" w:rsidRDefault="00A759AC" w:rsidP="00A759AC">
      <w:pPr>
        <w:pStyle w:val="Text11"/>
        <w:contextualSpacing/>
      </w:pPr>
      <w:r w:rsidRPr="0015694A">
        <w:t xml:space="preserve">IČO: </w:t>
      </w:r>
      <w:r>
        <w:t xml:space="preserve">                        47114975</w:t>
      </w:r>
    </w:p>
    <w:p w14:paraId="47E77A43" w14:textId="77777777" w:rsidR="00A759AC" w:rsidRDefault="00A759AC" w:rsidP="00A759AC">
      <w:pPr>
        <w:pStyle w:val="Text11"/>
        <w:contextualSpacing/>
      </w:pPr>
      <w:r>
        <w:t>DIČ:                         CZ47114975</w:t>
      </w:r>
      <w:r w:rsidRPr="0015694A">
        <w:t xml:space="preserve"> </w:t>
      </w:r>
    </w:p>
    <w:p w14:paraId="164A3D3A" w14:textId="77777777" w:rsidR="00A759AC" w:rsidRDefault="00A759AC" w:rsidP="00A759AC">
      <w:pPr>
        <w:pStyle w:val="Text11"/>
        <w:contextualSpacing/>
      </w:pPr>
      <w:r w:rsidRPr="0015694A">
        <w:t>zapsaná v obchodním rejstříku vedeném</w:t>
      </w:r>
      <w:r>
        <w:t xml:space="preserve"> Městským soudem v Praze, oddíl A, vložka 7564 </w:t>
      </w:r>
    </w:p>
    <w:p w14:paraId="391B883A" w14:textId="77777777" w:rsidR="00A759AC" w:rsidRPr="003324B0" w:rsidRDefault="00A759AC" w:rsidP="00A759AC">
      <w:pPr>
        <w:pStyle w:val="Text11"/>
        <w:contextualSpacing/>
      </w:pPr>
      <w:r w:rsidRPr="003324B0">
        <w:t xml:space="preserve">zastoupena: </w:t>
      </w:r>
      <w:r>
        <w:t xml:space="preserve">             Ing. Josef Diessl, generální ředitel</w:t>
      </w:r>
    </w:p>
    <w:p w14:paraId="7045EEB6" w14:textId="77777777" w:rsidR="00A759AC" w:rsidRDefault="00A759AC" w:rsidP="00A759AC">
      <w:pPr>
        <w:pStyle w:val="Text11"/>
        <w:contextualSpacing/>
      </w:pPr>
      <w:r>
        <w:t>Bankovní spojení:   ČNB</w:t>
      </w:r>
    </w:p>
    <w:p w14:paraId="45E3AD8F" w14:textId="3919D7AB" w:rsidR="00A759AC" w:rsidRDefault="00A759AC" w:rsidP="00A759AC">
      <w:pPr>
        <w:pStyle w:val="Text11"/>
      </w:pPr>
      <w:r>
        <w:t xml:space="preserve">Číslo účtu:               </w:t>
      </w:r>
      <w:r w:rsidR="008F7AF7" w:rsidRPr="008F7AF7">
        <w:rPr>
          <w:highlight w:val="black"/>
        </w:rPr>
        <w:t>XXXXXXXXXXXXXXX</w:t>
      </w:r>
    </w:p>
    <w:p w14:paraId="4A862116" w14:textId="77777777" w:rsidR="00A759AC" w:rsidRDefault="00A759AC" w:rsidP="00A759AC">
      <w:pPr>
        <w:pStyle w:val="Text11"/>
      </w:pPr>
      <w:r>
        <w:t>(dále jen „</w:t>
      </w:r>
      <w:r>
        <w:rPr>
          <w:b/>
        </w:rPr>
        <w:t>Pojišťovna</w:t>
      </w:r>
      <w:r>
        <w:t>“)</w:t>
      </w:r>
    </w:p>
    <w:p w14:paraId="1AF101CA" w14:textId="77777777" w:rsidR="0062712A" w:rsidRDefault="0062712A" w:rsidP="0062712A">
      <w:pPr>
        <w:pStyle w:val="Smluvstranya"/>
      </w:pPr>
      <w:r>
        <w:t>a</w:t>
      </w:r>
    </w:p>
    <w:p w14:paraId="2ADE5B1B" w14:textId="77777777" w:rsidR="0062712A" w:rsidRPr="00A92EE1" w:rsidRDefault="0062712A" w:rsidP="0062712A">
      <w:pPr>
        <w:widowControl w:val="0"/>
        <w:numPr>
          <w:ilvl w:val="0"/>
          <w:numId w:val="26"/>
        </w:numPr>
        <w:rPr>
          <w:b/>
          <w:bCs/>
        </w:rPr>
      </w:pPr>
      <w:r w:rsidRPr="00A92EE1">
        <w:rPr>
          <w:b/>
          <w:bCs/>
        </w:rPr>
        <w:t>Merck Sharp &amp; Dohme B.V.</w:t>
      </w:r>
    </w:p>
    <w:p w14:paraId="2F59E18B" w14:textId="77777777" w:rsidR="0062712A" w:rsidRDefault="0062712A" w:rsidP="0062712A">
      <w:pPr>
        <w:pStyle w:val="Text11"/>
        <w:keepNext w:val="0"/>
        <w:widowControl w:val="0"/>
      </w:pPr>
      <w:r>
        <w:t xml:space="preserve">se sídlem </w:t>
      </w:r>
      <w:r w:rsidRPr="00947CB7">
        <w:t>Waarderweg 39, 2031 BN Haarlem, Nizozemsko</w:t>
      </w:r>
      <w:r>
        <w:t>, registrační číslo 34028461, z</w:t>
      </w:r>
      <w:r w:rsidRPr="00F934F2">
        <w:t>apsaná: v rejstříku obchodních komor pod registračním číslem 34028461, vedeném obchodní komorou pro Amsterdam</w:t>
      </w:r>
    </w:p>
    <w:p w14:paraId="262E56F5" w14:textId="77777777" w:rsidR="0062712A" w:rsidRDefault="0062712A" w:rsidP="0062712A">
      <w:pPr>
        <w:pStyle w:val="Text11"/>
        <w:keepNext w:val="0"/>
        <w:widowControl w:val="0"/>
      </w:pPr>
      <w:r w:rsidRPr="00A92EE1">
        <w:rPr>
          <w:b/>
          <w:bCs/>
        </w:rPr>
        <w:t>zastoupena</w:t>
      </w:r>
      <w:r>
        <w:t xml:space="preserve"> na základě plné moci ze dne 3. 2. 2020 společností:</w:t>
      </w:r>
    </w:p>
    <w:p w14:paraId="5ACAB717" w14:textId="77777777" w:rsidR="0062712A" w:rsidRPr="00A92EE1" w:rsidRDefault="0062712A" w:rsidP="0062712A">
      <w:pPr>
        <w:pStyle w:val="ListParagraph"/>
        <w:spacing w:before="120"/>
        <w:ind w:left="567"/>
        <w:rPr>
          <w:b/>
          <w:bCs/>
          <w:sz w:val="22"/>
          <w:lang w:eastAsia="en-US"/>
        </w:rPr>
      </w:pPr>
      <w:r w:rsidRPr="00A92EE1">
        <w:rPr>
          <w:b/>
          <w:bCs/>
          <w:sz w:val="22"/>
          <w:lang w:eastAsia="en-US"/>
        </w:rPr>
        <w:t xml:space="preserve">Merck Sharp &amp; Dohme s.r.o. </w:t>
      </w:r>
    </w:p>
    <w:p w14:paraId="2DDECF23" w14:textId="77777777" w:rsidR="0062712A" w:rsidRDefault="0062712A" w:rsidP="0062712A">
      <w:pPr>
        <w:pStyle w:val="Text11"/>
        <w:keepNext w:val="0"/>
        <w:widowControl w:val="0"/>
        <w:contextualSpacing/>
      </w:pPr>
      <w:r>
        <w:t xml:space="preserve">se sídlem Na Valentince 3336/4, 150 00, Praha 5, Česká republika, IČO: 28462564, DIČ: </w:t>
      </w:r>
      <w:r w:rsidRPr="00947CB7">
        <w:t>CZ28462564</w:t>
      </w:r>
      <w:r>
        <w:t xml:space="preserve">, zapsána v obchodním rejstříku vedeném Městským soudem v Praze, sp. zn. C 143294, </w:t>
      </w:r>
    </w:p>
    <w:p w14:paraId="57BD4D20" w14:textId="2A8B2F7D" w:rsidR="0062712A" w:rsidRDefault="0062712A" w:rsidP="0062712A">
      <w:pPr>
        <w:pStyle w:val="Text11"/>
        <w:keepNext w:val="0"/>
        <w:widowControl w:val="0"/>
        <w:contextualSpacing/>
      </w:pPr>
      <w:r>
        <w:t xml:space="preserve">bankovní spojení: </w:t>
      </w:r>
      <w:r w:rsidR="00DD2B27" w:rsidRPr="00DD2B27">
        <w:rPr>
          <w:highlight w:val="black"/>
        </w:rPr>
        <w:t>XXXXXXXXXXXX</w:t>
      </w:r>
      <w:r>
        <w:t xml:space="preserve">., číslo účtu: </w:t>
      </w:r>
      <w:r w:rsidR="00DD2B27" w:rsidRPr="00DD2B27">
        <w:rPr>
          <w:highlight w:val="black"/>
        </w:rPr>
        <w:t>XXXXXXXXXXXX</w:t>
      </w:r>
    </w:p>
    <w:p w14:paraId="1444B58C" w14:textId="77777777" w:rsidR="0062712A" w:rsidRDefault="0062712A" w:rsidP="0062712A">
      <w:pPr>
        <w:pStyle w:val="Text11"/>
        <w:keepNext w:val="0"/>
        <w:widowControl w:val="0"/>
      </w:pPr>
      <w:r>
        <w:t>zastoupena: Stefano Santagelo, jednatel</w:t>
      </w:r>
    </w:p>
    <w:p w14:paraId="2AF56512" w14:textId="77777777" w:rsidR="0062712A" w:rsidRDefault="0062712A" w:rsidP="0062712A">
      <w:pPr>
        <w:pStyle w:val="Text11"/>
      </w:pPr>
      <w:r>
        <w:t>(dále jen „</w:t>
      </w:r>
      <w:r>
        <w:rPr>
          <w:b/>
        </w:rPr>
        <w:t>Držitel</w:t>
      </w:r>
      <w:r>
        <w:t>“)</w:t>
      </w:r>
    </w:p>
    <w:p w14:paraId="233339A2" w14:textId="77777777" w:rsidR="0062712A" w:rsidRDefault="0062712A" w:rsidP="0062712A">
      <w:pPr>
        <w:pStyle w:val="Text11"/>
        <w:spacing w:before="360" w:after="360"/>
      </w:pPr>
      <w:r>
        <w:t>(</w:t>
      </w:r>
      <w:r w:rsidRPr="00CD7819">
        <w:t>Pojišťovna a Držitel dále společně jen jako „smluvní strany“, nebo samostatně jako „smluvní strana“</w:t>
      </w:r>
      <w:r>
        <w:t>)</w:t>
      </w:r>
    </w:p>
    <w:p w14:paraId="193C52E4" w14:textId="77777777" w:rsidR="00C23A8F" w:rsidRDefault="00C23A8F" w:rsidP="00C23A8F">
      <w:pPr>
        <w:pStyle w:val="Smluvnistranypreambule"/>
      </w:pPr>
      <w:r>
        <w:t>Preambule</w:t>
      </w:r>
    </w:p>
    <w:p w14:paraId="07DAC73B" w14:textId="714B9D61" w:rsidR="008B0D91" w:rsidRDefault="008B0D91" w:rsidP="008B0D91">
      <w:pPr>
        <w:pStyle w:val="Preambule"/>
      </w:pPr>
      <w:r>
        <w:t>S</w:t>
      </w:r>
      <w:r w:rsidR="00CE4B71">
        <w:t>mluvní s</w:t>
      </w:r>
      <w:r>
        <w:t xml:space="preserve">trany uzavřely dne </w:t>
      </w:r>
      <w:r w:rsidR="00A759AC">
        <w:t>19.5.2021</w:t>
      </w:r>
      <w:r>
        <w:t xml:space="preserve"> smlouvu o limitaci nákladů spojených s hrazením léčivého přípravku </w:t>
      </w:r>
      <w:r w:rsidR="00DD2B27" w:rsidRPr="00DD2B27">
        <w:rPr>
          <w:highlight w:val="black"/>
        </w:rPr>
        <w:t>XXXXXXXX</w:t>
      </w:r>
      <w:r>
        <w:t xml:space="preserve"> („</w:t>
      </w:r>
      <w:r w:rsidRPr="0022226E">
        <w:rPr>
          <w:b/>
          <w:bCs/>
        </w:rPr>
        <w:t>Smlouva</w:t>
      </w:r>
      <w:r>
        <w:t>“).</w:t>
      </w:r>
    </w:p>
    <w:p w14:paraId="5E30481D" w14:textId="329FBFD3" w:rsidR="00C779FD" w:rsidRPr="00E07E67" w:rsidRDefault="008B0D91" w:rsidP="00E07E67">
      <w:pPr>
        <w:pStyle w:val="Preambule"/>
      </w:pPr>
      <w:r>
        <w:t>S</w:t>
      </w:r>
      <w:r w:rsidR="0002246E">
        <w:t>mluvní s</w:t>
      </w:r>
      <w:r>
        <w:t>trany se dohodly na níže ujednaných změnách Smlouvy a za tímto účelem se rozhodly uzavřít tento Dodatek.</w:t>
      </w:r>
    </w:p>
    <w:p w14:paraId="1491CE8B" w14:textId="77777777" w:rsidR="00D7359C" w:rsidRPr="00D7359C" w:rsidRDefault="00D7359C" w:rsidP="00D7359C">
      <w:pPr>
        <w:pStyle w:val="Heading1"/>
      </w:pPr>
      <w:r w:rsidRPr="00D7359C">
        <w:t>PŘEDMĚT DODATKU</w:t>
      </w:r>
    </w:p>
    <w:p w14:paraId="38AD670A" w14:textId="2473FC49" w:rsidR="00D7359C" w:rsidRDefault="00D7359C" w:rsidP="00D7359C">
      <w:pPr>
        <w:pStyle w:val="Clanek11"/>
      </w:pPr>
      <w:r w:rsidRPr="00D7359C">
        <w:t>Znění Přílohy č. 1 Smlouvy se ruší a plně se nahrazuje zněním, které tvoří Přílohu tohoto Dodatku.</w:t>
      </w:r>
    </w:p>
    <w:p w14:paraId="10A2505E" w14:textId="39D90377" w:rsidR="00681672" w:rsidRDefault="00681672" w:rsidP="00D7359C">
      <w:pPr>
        <w:pStyle w:val="Clanek11"/>
      </w:pPr>
      <w:r w:rsidRPr="00681672">
        <w:lastRenderedPageBreak/>
        <w:t>Smluvní strany se dohodly, že Příloha č. 1 Smlouvy ve znění dle tohoto Dodatku se uplatní na práva a povinnosti smluvních stran související s předmětem Smlouvy od 1. 8. 2022</w:t>
      </w:r>
      <w:r>
        <w:t>.</w:t>
      </w:r>
    </w:p>
    <w:p w14:paraId="0B091D41" w14:textId="77777777" w:rsidR="000C1658" w:rsidRDefault="000C1658" w:rsidP="000C1658">
      <w:pPr>
        <w:pStyle w:val="Heading1"/>
      </w:pPr>
      <w:r>
        <w:t>ZÁVĚREČNÁ USTANOVENÍ</w:t>
      </w:r>
    </w:p>
    <w:p w14:paraId="77B4082C" w14:textId="77777777" w:rsidR="000C1658" w:rsidRDefault="000C1658" w:rsidP="000C1658">
      <w:pPr>
        <w:pStyle w:val="Clanek11"/>
      </w:pPr>
      <w:r>
        <w:t>Ostatní ustanovení Smlouvy se tímto Dodatkem nemění.</w:t>
      </w:r>
    </w:p>
    <w:p w14:paraId="50AA7DB7" w14:textId="77777777" w:rsidR="000C1658" w:rsidRDefault="000C1658" w:rsidP="000C1658">
      <w:pPr>
        <w:pStyle w:val="Clanek11"/>
      </w:pPr>
      <w:r>
        <w:t xml:space="preserve">Nevyplývá-li z tohoto Dodatku jinak, mají slova užitá v tomto Dodatku a psaná s velkým počátečním písmenem význam uvedený ve Smlouvě. </w:t>
      </w:r>
    </w:p>
    <w:p w14:paraId="37A5A787" w14:textId="77777777" w:rsidR="000C1658" w:rsidRDefault="000C1658" w:rsidP="000C1658">
      <w:pPr>
        <w:pStyle w:val="Clanek11"/>
      </w:pPr>
      <w:r>
        <w:t>Ustanovení Smlouvy o jejím uveřejnění v registru smluv dle zákona č. 340/2015 Sb., o zvláštních podmínkách účinnosti některých smluv, uveřejňování těchto smluv a o registru smluv (zákon o registru smluv), ve znění pozdějších předpisů (dále jen „</w:t>
      </w:r>
      <w:r w:rsidRPr="00B64225">
        <w:rPr>
          <w:b/>
          <w:bCs w:val="0"/>
        </w:rPr>
        <w:t>zákon o registru smluv</w:t>
      </w:r>
      <w:r>
        <w:t xml:space="preserve">“), se použijí na uveřejnění tohoto Dodatku </w:t>
      </w:r>
      <w:r w:rsidRPr="00B64225">
        <w:rPr>
          <w:i/>
          <w:iCs w:val="0"/>
        </w:rPr>
        <w:t>mutatis mutandis</w:t>
      </w:r>
      <w:r>
        <w:t>. Za obchodní tajemství se pro účely uveřejnění tohoto Dodatku považují veškerá jeho ustanovení umožňující přímo či nepřímo identifikovat Přípravek, zejména tedy Příloha č. 1 Smlouvy, která tvoří nedílnou součást tohoto Dodatku.</w:t>
      </w:r>
    </w:p>
    <w:p w14:paraId="6918BBE9" w14:textId="77777777" w:rsidR="000C1658" w:rsidRDefault="000C1658" w:rsidP="000C1658">
      <w:pPr>
        <w:pStyle w:val="Clanek11"/>
      </w:pPr>
      <w:r>
        <w:t>Tento Dodatek nabývá platnosti dnem jeho podpisu oběma smluvních stran a účinností v souladu se zákonem o registru smluv.</w:t>
      </w:r>
    </w:p>
    <w:p w14:paraId="74EDB9A0" w14:textId="0016C382" w:rsidR="000C1658" w:rsidRDefault="00980AED" w:rsidP="000C1658">
      <w:pPr>
        <w:pStyle w:val="Clanek11"/>
      </w:pPr>
      <w:r w:rsidRPr="00980AED">
        <w:t>Tento Dodatek může být měněn pouze formou písemné dohody smluvních stran, která musí být podepsána jejich oprávněnými zástupci</w:t>
      </w:r>
      <w:r>
        <w:t>.</w:t>
      </w:r>
    </w:p>
    <w:p w14:paraId="11BA11C3" w14:textId="77777777" w:rsidR="00854BAE" w:rsidRDefault="00854BAE" w:rsidP="001D23AE">
      <w:pPr>
        <w:pStyle w:val="Clanek11"/>
      </w:pPr>
      <w:r>
        <w:t>Tento Dodatek je vyhotoven ve 4 (čtyřech) stejnopisech. Každá ze smluvních stran obdrží po 2 (dvou) stejnopisech tohoto Dodatku.</w:t>
      </w:r>
    </w:p>
    <w:p w14:paraId="2A48163F" w14:textId="77777777" w:rsidR="00854BAE" w:rsidRDefault="00854BAE" w:rsidP="001D23AE">
      <w:pPr>
        <w:pStyle w:val="Clanek11"/>
        <w:rPr>
          <w:bCs w:val="0"/>
        </w:rPr>
      </w:pPr>
      <w:r>
        <w:rPr>
          <w:bCs w:val="0"/>
        </w:rPr>
        <w:t>Smluvní strany tímto výslovně prohlašují, že si tento Dodatek před jeho podpisem přečetly a že vyjadřuje jejich pravou a svobodnou vůli, na důkaz čehož připojují níže své podpisy.</w:t>
      </w:r>
    </w:p>
    <w:p w14:paraId="2A8A2F67" w14:textId="77777777" w:rsidR="00854BAE" w:rsidRDefault="00854BAE" w:rsidP="001D23AE">
      <w:pPr>
        <w:pStyle w:val="Clanek11"/>
      </w:pPr>
      <w:r>
        <w:t>Nedílnou součástí tohoto Dodatku je následující příloha:</w:t>
      </w:r>
    </w:p>
    <w:p w14:paraId="124944F5" w14:textId="77777777" w:rsidR="00854BAE" w:rsidRDefault="00854BAE" w:rsidP="00854BAE">
      <w:pPr>
        <w:pStyle w:val="Clanek11"/>
        <w:numPr>
          <w:ilvl w:val="0"/>
          <w:numId w:val="0"/>
        </w:numPr>
        <w:ind w:left="567"/>
      </w:pPr>
      <w:r>
        <w:t>Příloha – OBCHODNÍ TAJEMSTVÍ</w:t>
      </w:r>
    </w:p>
    <w:tbl>
      <w:tblPr>
        <w:tblW w:w="9430" w:type="dxa"/>
        <w:tblInd w:w="-108" w:type="dxa"/>
        <w:tblLook w:val="0000" w:firstRow="0" w:lastRow="0" w:firstColumn="0" w:lastColumn="0" w:noHBand="0" w:noVBand="0"/>
      </w:tblPr>
      <w:tblGrid>
        <w:gridCol w:w="108"/>
        <w:gridCol w:w="4536"/>
        <w:gridCol w:w="108"/>
        <w:gridCol w:w="4570"/>
        <w:gridCol w:w="108"/>
      </w:tblGrid>
      <w:tr w:rsidR="00F13148" w:rsidRPr="00507EEF" w14:paraId="27698B61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2C1E53BF" w14:textId="77777777" w:rsidR="00854BAE" w:rsidRDefault="00854BAE" w:rsidP="00150FED">
            <w:pPr>
              <w:rPr>
                <w:bCs/>
              </w:rPr>
            </w:pPr>
          </w:p>
          <w:p w14:paraId="22DDF9D5" w14:textId="3AC4D4A3" w:rsidR="00F13148" w:rsidRPr="00507EEF" w:rsidRDefault="00F13148" w:rsidP="00150FED">
            <w:r w:rsidRPr="006D2369">
              <w:rPr>
                <w:bCs/>
              </w:rPr>
              <w:t>Za</w:t>
            </w:r>
            <w:r>
              <w:rPr>
                <w:b/>
              </w:rPr>
              <w:t xml:space="preserve"> Merck Sharp </w:t>
            </w:r>
            <w:r w:rsidRPr="00A65371">
              <w:rPr>
                <w:b/>
              </w:rPr>
              <w:t>&amp; Dohme s.r.o.</w:t>
            </w:r>
          </w:p>
        </w:tc>
        <w:tc>
          <w:tcPr>
            <w:tcW w:w="4678" w:type="dxa"/>
            <w:gridSpan w:val="2"/>
          </w:tcPr>
          <w:p w14:paraId="38C63845" w14:textId="34A0F2DC" w:rsidR="00F13148" w:rsidRPr="00507EEF" w:rsidRDefault="00F13148" w:rsidP="00150FED">
            <w:r w:rsidRPr="00934EA0">
              <w:rPr>
                <w:bCs/>
              </w:rPr>
              <w:t>Za</w:t>
            </w:r>
            <w:r w:rsidRPr="00934EA0">
              <w:rPr>
                <w:b/>
              </w:rPr>
              <w:t xml:space="preserve"> </w:t>
            </w:r>
            <w:r w:rsidR="00A759AC">
              <w:rPr>
                <w:b/>
              </w:rPr>
              <w:t>Vojenskou zdravotní pojišťovnu ČR</w:t>
            </w:r>
            <w:r w:rsidR="00A759AC" w:rsidRPr="00A65371">
              <w:rPr>
                <w:b/>
                <w:highlight w:val="yellow"/>
              </w:rPr>
              <w:t xml:space="preserve"> </w:t>
            </w:r>
          </w:p>
        </w:tc>
      </w:tr>
      <w:tr w:rsidR="00F13148" w:rsidRPr="00507EEF" w14:paraId="32407ED3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1714D9B0" w14:textId="033FBD6F" w:rsidR="00F13148" w:rsidRPr="00507EEF" w:rsidRDefault="00F13148" w:rsidP="00150FED">
            <w:r>
              <w:t xml:space="preserve">V Praze dne </w:t>
            </w:r>
          </w:p>
        </w:tc>
        <w:tc>
          <w:tcPr>
            <w:tcW w:w="4678" w:type="dxa"/>
            <w:gridSpan w:val="2"/>
          </w:tcPr>
          <w:p w14:paraId="15EFF96D" w14:textId="32F0D3B4" w:rsidR="00F13148" w:rsidRPr="00507EEF" w:rsidRDefault="00F13148" w:rsidP="00150FED">
            <w:pPr>
              <w:rPr>
                <w:b/>
              </w:rPr>
            </w:pPr>
            <w:r>
              <w:t xml:space="preserve">V </w:t>
            </w:r>
            <w:r w:rsidR="00A759AC">
              <w:t>Praze</w:t>
            </w:r>
            <w:r>
              <w:rPr>
                <w:bCs/>
                <w:szCs w:val="22"/>
              </w:rPr>
              <w:t xml:space="preserve"> </w:t>
            </w:r>
            <w:r>
              <w:t xml:space="preserve">dne </w:t>
            </w:r>
          </w:p>
        </w:tc>
      </w:tr>
      <w:tr w:rsidR="00F13148" w:rsidRPr="00507EEF" w14:paraId="05D5A78E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6F4E2F47" w14:textId="77777777" w:rsidR="00F13148" w:rsidRDefault="00F13148" w:rsidP="00150FED">
            <w:pPr>
              <w:spacing w:before="0" w:after="0"/>
            </w:pPr>
          </w:p>
          <w:p w14:paraId="2578B3B3" w14:textId="77777777" w:rsidR="00F13148" w:rsidRPr="00507EEF" w:rsidRDefault="00F13148" w:rsidP="00150FED">
            <w:pPr>
              <w:spacing w:before="0" w:after="0"/>
            </w:pPr>
            <w:r w:rsidRPr="00507EEF"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2292AC13" w14:textId="77777777" w:rsidR="00F13148" w:rsidRDefault="00F13148" w:rsidP="00150FED">
            <w:pPr>
              <w:spacing w:before="0" w:after="0"/>
            </w:pPr>
          </w:p>
          <w:p w14:paraId="6FE02AC4" w14:textId="77777777" w:rsidR="00F13148" w:rsidRPr="00E1706D" w:rsidRDefault="00F13148" w:rsidP="00150FED">
            <w:pPr>
              <w:spacing w:before="0" w:after="0"/>
            </w:pPr>
            <w:r w:rsidRPr="00507EEF">
              <w:t>_______________________________________</w:t>
            </w:r>
          </w:p>
        </w:tc>
      </w:tr>
      <w:tr w:rsidR="00F13148" w:rsidRPr="00507EEF" w14:paraId="7ABD07FB" w14:textId="77777777" w:rsidTr="00150FED">
        <w:trPr>
          <w:gridAfter w:val="1"/>
          <w:wAfter w:w="108" w:type="dxa"/>
        </w:trPr>
        <w:tc>
          <w:tcPr>
            <w:tcW w:w="4644" w:type="dxa"/>
            <w:gridSpan w:val="2"/>
          </w:tcPr>
          <w:p w14:paraId="708999EC" w14:textId="77777777" w:rsidR="00F13148" w:rsidRPr="00507EEF" w:rsidRDefault="00F13148" w:rsidP="00150FED">
            <w:pPr>
              <w:spacing w:before="0" w:after="0"/>
              <w:ind w:left="142"/>
            </w:pPr>
            <w:r>
              <w:t>J</w:t>
            </w:r>
            <w:r w:rsidRPr="00507EEF">
              <w:t xml:space="preserve">méno: </w:t>
            </w:r>
            <w:r>
              <w:t>Stefano Santangelo</w:t>
            </w:r>
          </w:p>
          <w:p w14:paraId="69E2DA6F" w14:textId="77777777" w:rsidR="00F13148" w:rsidRPr="00507EEF" w:rsidRDefault="00F13148" w:rsidP="00150FED">
            <w:pPr>
              <w:spacing w:before="0" w:after="0"/>
              <w:ind w:left="142"/>
            </w:pPr>
            <w:r>
              <w:t>F</w:t>
            </w:r>
            <w:r w:rsidRPr="00507EEF">
              <w:t>unk</w:t>
            </w:r>
            <w:r w:rsidRPr="000C0EFB">
              <w:t>ce: jednatel</w:t>
            </w:r>
          </w:p>
        </w:tc>
        <w:tc>
          <w:tcPr>
            <w:tcW w:w="4678" w:type="dxa"/>
            <w:gridSpan w:val="2"/>
          </w:tcPr>
          <w:p w14:paraId="3EE2BD26" w14:textId="4153915B" w:rsidR="00F13148" w:rsidRPr="00507EEF" w:rsidRDefault="00F13148" w:rsidP="00150FED">
            <w:pPr>
              <w:spacing w:before="0" w:after="0"/>
              <w:ind w:left="32"/>
            </w:pPr>
            <w:r>
              <w:t>J</w:t>
            </w:r>
            <w:r w:rsidRPr="00507EEF">
              <w:t xml:space="preserve">méno: </w:t>
            </w:r>
            <w:r w:rsidR="00A759AC">
              <w:t xml:space="preserve"> Ing. Josef Diessl</w:t>
            </w:r>
          </w:p>
          <w:p w14:paraId="1B7F3911" w14:textId="7BA7688D" w:rsidR="00F13148" w:rsidRPr="00507EEF" w:rsidRDefault="00F13148" w:rsidP="00150FED">
            <w:pPr>
              <w:spacing w:before="0" w:after="0"/>
              <w:ind w:left="32"/>
            </w:pPr>
            <w:r>
              <w:t>F</w:t>
            </w:r>
            <w:r w:rsidRPr="00507EEF">
              <w:t xml:space="preserve">unkce: </w:t>
            </w:r>
            <w:r w:rsidR="00A759AC">
              <w:t>generální ředitel</w:t>
            </w:r>
          </w:p>
        </w:tc>
      </w:tr>
    </w:tbl>
    <w:p w14:paraId="40E81AF9" w14:textId="77777777" w:rsidR="00F13148" w:rsidRDefault="00F13148" w:rsidP="00F13148"/>
    <w:p w14:paraId="0B84FD6D" w14:textId="6A4552DD" w:rsidR="00F13148" w:rsidRDefault="00F13148">
      <w:pPr>
        <w:spacing w:before="0" w:after="0"/>
        <w:jc w:val="left"/>
      </w:pPr>
      <w:r>
        <w:br w:type="page"/>
      </w:r>
    </w:p>
    <w:p w14:paraId="155F8F2E" w14:textId="19918D67" w:rsidR="00DC1B41" w:rsidRPr="00DC1B41" w:rsidRDefault="00DC1B41" w:rsidP="00DC1B41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  <w:r w:rsidRPr="00DC1B41">
        <w:rPr>
          <w:rFonts w:cs="Arial"/>
          <w:bCs/>
          <w:iCs/>
          <w:szCs w:val="28"/>
        </w:rPr>
        <w:lastRenderedPageBreak/>
        <w:t>Příloha</w:t>
      </w:r>
    </w:p>
    <w:p w14:paraId="246CAFD7" w14:textId="377B6F09" w:rsidR="00D27877" w:rsidRDefault="00D27877" w:rsidP="00D27877">
      <w:pPr>
        <w:tabs>
          <w:tab w:val="left" w:pos="5245"/>
        </w:tabs>
        <w:spacing w:after="40" w:line="276" w:lineRule="auto"/>
        <w:jc w:val="center"/>
        <w:rPr>
          <w:rFonts w:cs="Arial"/>
          <w:b/>
          <w:iCs/>
          <w:szCs w:val="28"/>
        </w:rPr>
      </w:pPr>
      <w:r>
        <w:rPr>
          <w:rFonts w:cs="Arial"/>
          <w:b/>
          <w:iCs/>
          <w:szCs w:val="28"/>
        </w:rPr>
        <w:t>OBCHODNÍ TAJEMSTVÍ</w:t>
      </w:r>
    </w:p>
    <w:p w14:paraId="78A27EA7" w14:textId="77777777" w:rsidR="00D27877" w:rsidRPr="00DD4BAB" w:rsidRDefault="00D27877" w:rsidP="00D27877">
      <w:pPr>
        <w:tabs>
          <w:tab w:val="left" w:pos="5245"/>
        </w:tabs>
        <w:spacing w:after="40" w:line="276" w:lineRule="auto"/>
        <w:jc w:val="center"/>
        <w:rPr>
          <w:rFonts w:cs="Arial"/>
          <w:bCs/>
          <w:iCs/>
          <w:szCs w:val="28"/>
        </w:rPr>
      </w:pPr>
      <w:r w:rsidRPr="00DD4BAB">
        <w:rPr>
          <w:rFonts w:cs="Arial"/>
          <w:bCs/>
          <w:iCs/>
          <w:szCs w:val="28"/>
        </w:rPr>
        <w:t>PŘÍLOHA Č. 1</w:t>
      </w:r>
    </w:p>
    <w:p w14:paraId="0CE1CBAD" w14:textId="6C8332EC" w:rsidR="00D27877" w:rsidRPr="00DD4BAB" w:rsidRDefault="00D27877" w:rsidP="00D27877">
      <w:pPr>
        <w:tabs>
          <w:tab w:val="left" w:pos="5245"/>
        </w:tabs>
        <w:spacing w:after="40" w:line="276" w:lineRule="auto"/>
        <w:jc w:val="center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 xml:space="preserve">SMLOUVY </w:t>
      </w:r>
      <w:r w:rsidRPr="00DD4BAB">
        <w:rPr>
          <w:rFonts w:cs="Arial"/>
          <w:bCs/>
          <w:iCs/>
          <w:szCs w:val="28"/>
        </w:rPr>
        <w:t xml:space="preserve">O LIMITACI NÁKLADŮ SPOJENÝCH S HRAZENÍM LÉČIVÉHO PŘÍPRAVKU </w:t>
      </w:r>
      <w:r w:rsidR="00DD2B27" w:rsidRPr="00DD2B27">
        <w:rPr>
          <w:rFonts w:cs="Arial"/>
          <w:bCs/>
          <w:iCs/>
          <w:szCs w:val="28"/>
          <w:highlight w:val="black"/>
        </w:rPr>
        <w:t>XXXXXXXX</w:t>
      </w:r>
    </w:p>
    <w:p w14:paraId="4D4F5AD4" w14:textId="77777777" w:rsidR="00D27877" w:rsidRPr="00A92EE1" w:rsidRDefault="00D27877" w:rsidP="00D27877">
      <w:pPr>
        <w:tabs>
          <w:tab w:val="left" w:pos="5245"/>
        </w:tabs>
        <w:spacing w:after="40" w:line="276" w:lineRule="auto"/>
        <w:jc w:val="center"/>
        <w:rPr>
          <w:rFonts w:cs="Arial"/>
          <w:b/>
          <w:iCs/>
          <w:szCs w:val="28"/>
        </w:rPr>
      </w:pPr>
    </w:p>
    <w:p w14:paraId="785C4C95" w14:textId="77777777" w:rsidR="00D27877" w:rsidRPr="00A92EE1" w:rsidRDefault="00D27877" w:rsidP="00D27877">
      <w:pPr>
        <w:pStyle w:val="ListParagraph"/>
        <w:numPr>
          <w:ilvl w:val="0"/>
          <w:numId w:val="31"/>
        </w:numPr>
        <w:tabs>
          <w:tab w:val="left" w:pos="5245"/>
        </w:tabs>
        <w:spacing w:before="120" w:after="40" w:line="276" w:lineRule="auto"/>
        <w:ind w:left="284" w:hanging="284"/>
        <w:rPr>
          <w:rFonts w:cs="Arial"/>
          <w:bCs/>
          <w:iCs/>
          <w:sz w:val="22"/>
          <w:szCs w:val="28"/>
          <w:lang w:eastAsia="en-US"/>
        </w:rPr>
      </w:pPr>
      <w:r w:rsidRPr="00A92EE1">
        <w:rPr>
          <w:rFonts w:cs="Arial"/>
          <w:bCs/>
          <w:iCs/>
          <w:sz w:val="22"/>
          <w:szCs w:val="28"/>
          <w:lang w:eastAsia="en-US"/>
        </w:rPr>
        <w:t>Přípravkem dle této Smlouvy se rozumí: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3260"/>
        <w:gridCol w:w="2835"/>
      </w:tblGrid>
      <w:tr w:rsidR="00D27877" w:rsidRPr="00A92EE1" w14:paraId="0A950E5D" w14:textId="77777777" w:rsidTr="00150FED">
        <w:trPr>
          <w:trHeight w:val="559"/>
        </w:trPr>
        <w:tc>
          <w:tcPr>
            <w:tcW w:w="1271" w:type="dxa"/>
            <w:shd w:val="clear" w:color="auto" w:fill="D9D9D9" w:themeFill="background1" w:themeFillShade="D9"/>
          </w:tcPr>
          <w:p w14:paraId="07F2DA9B" w14:textId="77777777" w:rsidR="00D27877" w:rsidRPr="00A92EE1" w:rsidRDefault="00D27877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/>
                <w:iCs/>
                <w:szCs w:val="28"/>
              </w:rPr>
            </w:pPr>
            <w:bookmarkStart w:id="0" w:name="_Hlk67045032"/>
            <w:r w:rsidRPr="00A92EE1">
              <w:rPr>
                <w:rFonts w:cs="Arial"/>
                <w:b/>
                <w:iCs/>
                <w:szCs w:val="28"/>
              </w:rPr>
              <w:t xml:space="preserve">Kód SÚKL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B92422" w14:textId="77777777" w:rsidR="00D27877" w:rsidRPr="00A92EE1" w:rsidRDefault="00D27877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/>
                <w:iCs/>
                <w:szCs w:val="28"/>
              </w:rPr>
            </w:pPr>
            <w:r w:rsidRPr="00A92EE1">
              <w:rPr>
                <w:rFonts w:cs="Arial"/>
                <w:b/>
                <w:iCs/>
                <w:szCs w:val="28"/>
              </w:rPr>
              <w:t xml:space="preserve">Název Přípravku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BABEC30" w14:textId="77777777" w:rsidR="00D27877" w:rsidRPr="00A92EE1" w:rsidRDefault="00D27877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/>
                <w:iCs/>
                <w:szCs w:val="28"/>
              </w:rPr>
            </w:pPr>
            <w:r w:rsidRPr="00A92EE1">
              <w:rPr>
                <w:rFonts w:cs="Arial"/>
                <w:b/>
                <w:iCs/>
                <w:szCs w:val="28"/>
              </w:rPr>
              <w:t>Doplněk názvu Přípravku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90E45A" w14:textId="18E29AD2" w:rsidR="00D27877" w:rsidRPr="00A92EE1" w:rsidRDefault="00121643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/>
                <w:iCs/>
                <w:szCs w:val="28"/>
              </w:rPr>
            </w:pPr>
            <w:r w:rsidRPr="00121643">
              <w:rPr>
                <w:rFonts w:cs="Arial"/>
                <w:b/>
                <w:iCs/>
                <w:szCs w:val="28"/>
                <w:highlight w:val="black"/>
              </w:rPr>
              <w:t>XXXXXXXXXXXXXX</w:t>
            </w:r>
          </w:p>
        </w:tc>
      </w:tr>
      <w:tr w:rsidR="00D27877" w:rsidRPr="00A92EE1" w14:paraId="109CAD05" w14:textId="77777777" w:rsidTr="00150FED">
        <w:trPr>
          <w:trHeight w:val="266"/>
        </w:trPr>
        <w:tc>
          <w:tcPr>
            <w:tcW w:w="1271" w:type="dxa"/>
            <w:vAlign w:val="center"/>
          </w:tcPr>
          <w:p w14:paraId="1354CC12" w14:textId="40351192" w:rsidR="00D27877" w:rsidRPr="00DD2B27" w:rsidRDefault="00DD2B27" w:rsidP="00DD2B27">
            <w:pPr>
              <w:pStyle w:val="Smluvnistranypreambule"/>
              <w:spacing w:before="120" w:after="120"/>
              <w:jc w:val="center"/>
              <w:rPr>
                <w:rFonts w:cs="Arial"/>
                <w:bCs/>
                <w:kern w:val="28"/>
                <w:szCs w:val="32"/>
              </w:rPr>
            </w:pPr>
            <w:r w:rsidRPr="00DD2B27">
              <w:rPr>
                <w:rFonts w:cs="Arial"/>
                <w:bCs/>
                <w:kern w:val="28"/>
                <w:szCs w:val="32"/>
                <w:highlight w:val="black"/>
              </w:rPr>
              <w:t>xxxxx</w:t>
            </w:r>
          </w:p>
        </w:tc>
        <w:tc>
          <w:tcPr>
            <w:tcW w:w="1985" w:type="dxa"/>
            <w:vAlign w:val="center"/>
          </w:tcPr>
          <w:p w14:paraId="3725908D" w14:textId="61F1CBC5" w:rsidR="00D27877" w:rsidRPr="00DD2B27" w:rsidRDefault="00DD2B27" w:rsidP="00DD2B27">
            <w:pPr>
              <w:pStyle w:val="Smluvnistranypreambule"/>
              <w:spacing w:before="120" w:after="120"/>
              <w:jc w:val="center"/>
              <w:rPr>
                <w:rFonts w:cs="Arial"/>
                <w:bCs/>
                <w:kern w:val="28"/>
                <w:szCs w:val="32"/>
              </w:rPr>
            </w:pPr>
            <w:r w:rsidRPr="00DD2B27">
              <w:rPr>
                <w:rFonts w:cs="Arial"/>
                <w:bCs/>
                <w:kern w:val="28"/>
                <w:szCs w:val="32"/>
                <w:highlight w:val="black"/>
              </w:rPr>
              <w:t>xxxxxxx</w:t>
            </w:r>
          </w:p>
        </w:tc>
        <w:tc>
          <w:tcPr>
            <w:tcW w:w="3260" w:type="dxa"/>
            <w:vAlign w:val="center"/>
          </w:tcPr>
          <w:p w14:paraId="37274C09" w14:textId="0C17A94C" w:rsidR="00D27877" w:rsidRPr="00DD2B27" w:rsidRDefault="00DD2B27" w:rsidP="00DD2B27">
            <w:pPr>
              <w:pStyle w:val="Smluvnistranypreambule"/>
              <w:spacing w:before="120" w:after="120"/>
              <w:jc w:val="center"/>
              <w:rPr>
                <w:rFonts w:cs="Arial"/>
                <w:bCs/>
                <w:kern w:val="28"/>
                <w:szCs w:val="32"/>
              </w:rPr>
            </w:pPr>
            <w:r w:rsidRPr="00DD2B27">
              <w:rPr>
                <w:rFonts w:cs="Arial"/>
                <w:bCs/>
                <w:kern w:val="28"/>
                <w:szCs w:val="32"/>
                <w:highlight w:val="black"/>
              </w:rPr>
              <w:t>xxxxxxxxxxxxx</w:t>
            </w:r>
          </w:p>
        </w:tc>
        <w:tc>
          <w:tcPr>
            <w:tcW w:w="2835" w:type="dxa"/>
          </w:tcPr>
          <w:p w14:paraId="799CD4CD" w14:textId="7A293F63" w:rsidR="00D27877" w:rsidRPr="00A92EE1" w:rsidRDefault="00DD2B27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Cs/>
                <w:iCs/>
                <w:szCs w:val="28"/>
              </w:rPr>
            </w:pPr>
            <w:r w:rsidRPr="00DD2B27">
              <w:rPr>
                <w:rFonts w:cs="Arial"/>
                <w:bCs/>
                <w:iCs/>
                <w:szCs w:val="28"/>
                <w:highlight w:val="black"/>
              </w:rPr>
              <w:t>XXXXXXX</w:t>
            </w:r>
          </w:p>
        </w:tc>
      </w:tr>
      <w:bookmarkEnd w:id="0"/>
    </w:tbl>
    <w:p w14:paraId="65A645B2" w14:textId="77777777" w:rsidR="00D27877" w:rsidRPr="00A92EE1" w:rsidRDefault="00D27877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</w:p>
    <w:p w14:paraId="36CCB64D" w14:textId="730F1884" w:rsidR="00D27877" w:rsidRPr="00121643" w:rsidRDefault="00D27877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  <w:highlight w:val="black"/>
        </w:rPr>
      </w:pPr>
      <w:r w:rsidRPr="00A92EE1">
        <w:rPr>
          <w:rFonts w:cs="Arial"/>
          <w:bCs/>
          <w:iCs/>
          <w:szCs w:val="28"/>
        </w:rPr>
        <w:t xml:space="preserve">2. </w:t>
      </w:r>
      <w:r w:rsidR="00121643" w:rsidRPr="00121643">
        <w:rPr>
          <w:rFonts w:cs="Arial"/>
          <w:bCs/>
          <w:iCs/>
          <w:szCs w:val="28"/>
          <w:highlight w:val="black"/>
        </w:rPr>
        <w:t>XXXXXXXXXXXXXXXXXXXXXXXXXX</w:t>
      </w:r>
      <w:r w:rsidRPr="00121643">
        <w:rPr>
          <w:rFonts w:cs="Arial"/>
          <w:bCs/>
          <w:iCs/>
          <w:szCs w:val="28"/>
          <w:highlight w:val="black"/>
        </w:rPr>
        <w:t xml:space="preserve">:  </w:t>
      </w:r>
    </w:p>
    <w:p w14:paraId="667A6C61" w14:textId="670AD630" w:rsidR="00D27877" w:rsidRPr="00A92EE1" w:rsidRDefault="00121643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  <w:r w:rsidRPr="00121643">
        <w:rPr>
          <w:rFonts w:cs="Arial"/>
          <w:bCs/>
          <w:iCs/>
          <w:szCs w:val="28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19CBF3A" w14:textId="293FEF04" w:rsidR="00D27877" w:rsidRPr="00A92EE1" w:rsidRDefault="00D27877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  <w:r w:rsidRPr="00A92EE1">
        <w:rPr>
          <w:rFonts w:cs="Arial"/>
          <w:bCs/>
          <w:iCs/>
          <w:szCs w:val="28"/>
        </w:rPr>
        <w:t>3.</w:t>
      </w:r>
      <w:r w:rsidR="00121643" w:rsidRPr="00121643">
        <w:rPr>
          <w:rFonts w:cs="Arial"/>
          <w:bCs/>
          <w:iCs/>
          <w:szCs w:val="28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560BC74" w14:textId="77777777" w:rsidR="00D27877" w:rsidRPr="00A92EE1" w:rsidRDefault="00D27877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</w:p>
    <w:tbl>
      <w:tblPr>
        <w:tblW w:w="9430" w:type="dxa"/>
        <w:tblInd w:w="-108" w:type="dxa"/>
        <w:tblLook w:val="0000" w:firstRow="0" w:lastRow="0" w:firstColumn="0" w:lastColumn="0" w:noHBand="0" w:noVBand="0"/>
      </w:tblPr>
      <w:tblGrid>
        <w:gridCol w:w="108"/>
        <w:gridCol w:w="4536"/>
        <w:gridCol w:w="108"/>
        <w:gridCol w:w="4570"/>
        <w:gridCol w:w="108"/>
      </w:tblGrid>
      <w:tr w:rsidR="00D27877" w:rsidRPr="00507EEF" w14:paraId="5EF6CF68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1B2AAAAD" w14:textId="77777777" w:rsidR="00D27877" w:rsidRPr="00507EEF" w:rsidRDefault="00D27877" w:rsidP="00150FED">
            <w:r w:rsidRPr="006D2369">
              <w:rPr>
                <w:bCs/>
              </w:rPr>
              <w:t>Za</w:t>
            </w:r>
            <w:r>
              <w:rPr>
                <w:b/>
              </w:rPr>
              <w:t xml:space="preserve"> Merck Sharp </w:t>
            </w:r>
            <w:r w:rsidRPr="00A65371">
              <w:rPr>
                <w:b/>
              </w:rPr>
              <w:t>&amp; Dohme s.r.o.</w:t>
            </w:r>
          </w:p>
        </w:tc>
        <w:tc>
          <w:tcPr>
            <w:tcW w:w="4678" w:type="dxa"/>
            <w:gridSpan w:val="2"/>
          </w:tcPr>
          <w:p w14:paraId="4EE26984" w14:textId="2B6B6DBB" w:rsidR="00D27877" w:rsidRPr="00507EEF" w:rsidRDefault="00D27877" w:rsidP="00150FED">
            <w:r w:rsidRPr="00934EA0">
              <w:rPr>
                <w:bCs/>
              </w:rPr>
              <w:t>Za</w:t>
            </w:r>
            <w:r w:rsidRPr="00934EA0">
              <w:rPr>
                <w:b/>
              </w:rPr>
              <w:t xml:space="preserve"> </w:t>
            </w:r>
            <w:r w:rsidR="00A759AC">
              <w:rPr>
                <w:b/>
              </w:rPr>
              <w:t>Vojenskou zdravotní pojišťovnu ČR</w:t>
            </w:r>
            <w:r w:rsidR="00A759AC" w:rsidRPr="00A65371">
              <w:rPr>
                <w:b/>
                <w:highlight w:val="yellow"/>
              </w:rPr>
              <w:t xml:space="preserve"> </w:t>
            </w:r>
          </w:p>
        </w:tc>
      </w:tr>
      <w:tr w:rsidR="00D27877" w:rsidRPr="00507EEF" w14:paraId="54E6BCE2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3D7FBC8C" w14:textId="04A3E447" w:rsidR="00D27877" w:rsidRPr="00507EEF" w:rsidRDefault="00D27877" w:rsidP="00150FED">
            <w:r>
              <w:t xml:space="preserve">V Praze dne </w:t>
            </w:r>
          </w:p>
        </w:tc>
        <w:tc>
          <w:tcPr>
            <w:tcW w:w="4678" w:type="dxa"/>
            <w:gridSpan w:val="2"/>
          </w:tcPr>
          <w:p w14:paraId="687112AF" w14:textId="61356C54" w:rsidR="00D27877" w:rsidRPr="00507EEF" w:rsidRDefault="00D27877" w:rsidP="00150FED">
            <w:pPr>
              <w:rPr>
                <w:b/>
              </w:rPr>
            </w:pPr>
            <w:r>
              <w:t xml:space="preserve">V </w:t>
            </w:r>
            <w:r w:rsidR="00A759AC">
              <w:t>Praze</w:t>
            </w:r>
            <w:r>
              <w:rPr>
                <w:bCs/>
                <w:szCs w:val="22"/>
              </w:rPr>
              <w:t xml:space="preserve"> </w:t>
            </w:r>
            <w:r>
              <w:t xml:space="preserve">dne </w:t>
            </w:r>
          </w:p>
        </w:tc>
      </w:tr>
      <w:tr w:rsidR="00D27877" w:rsidRPr="00507EEF" w14:paraId="02474CD9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32E906DD" w14:textId="77777777" w:rsidR="00D27877" w:rsidRDefault="00D27877" w:rsidP="00150FED">
            <w:pPr>
              <w:spacing w:before="0" w:after="0"/>
            </w:pPr>
          </w:p>
          <w:p w14:paraId="30B9212E" w14:textId="77777777" w:rsidR="00D27877" w:rsidRPr="00507EEF" w:rsidRDefault="00D27877" w:rsidP="00150FED">
            <w:pPr>
              <w:spacing w:before="0" w:after="0"/>
            </w:pPr>
            <w:r w:rsidRPr="00507EEF"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493AB3D5" w14:textId="77777777" w:rsidR="00D27877" w:rsidRDefault="00D27877" w:rsidP="00150FED">
            <w:pPr>
              <w:spacing w:before="0" w:after="0"/>
            </w:pPr>
          </w:p>
          <w:p w14:paraId="6C11CF36" w14:textId="77777777" w:rsidR="00D27877" w:rsidRPr="00E1706D" w:rsidRDefault="00D27877" w:rsidP="00150FED">
            <w:pPr>
              <w:spacing w:before="0" w:after="0"/>
            </w:pPr>
            <w:r w:rsidRPr="00507EEF">
              <w:t>_______________________________________</w:t>
            </w:r>
          </w:p>
        </w:tc>
      </w:tr>
      <w:tr w:rsidR="00D27877" w:rsidRPr="00507EEF" w14:paraId="61BC49E0" w14:textId="77777777" w:rsidTr="00150FED">
        <w:trPr>
          <w:gridAfter w:val="1"/>
          <w:wAfter w:w="108" w:type="dxa"/>
        </w:trPr>
        <w:tc>
          <w:tcPr>
            <w:tcW w:w="4644" w:type="dxa"/>
            <w:gridSpan w:val="2"/>
          </w:tcPr>
          <w:p w14:paraId="045BC89F" w14:textId="77777777" w:rsidR="00D27877" w:rsidRPr="00507EEF" w:rsidRDefault="00D27877" w:rsidP="00150FED">
            <w:pPr>
              <w:spacing w:before="0" w:after="0"/>
              <w:ind w:left="142"/>
            </w:pPr>
            <w:r>
              <w:t>J</w:t>
            </w:r>
            <w:r w:rsidRPr="00507EEF">
              <w:t xml:space="preserve">méno: </w:t>
            </w:r>
            <w:r>
              <w:t>Stefano Santangelo</w:t>
            </w:r>
          </w:p>
          <w:p w14:paraId="502C408C" w14:textId="77777777" w:rsidR="00D27877" w:rsidRPr="00507EEF" w:rsidRDefault="00D27877" w:rsidP="00150FED">
            <w:pPr>
              <w:spacing w:before="0" w:after="0"/>
              <w:ind w:left="142"/>
            </w:pPr>
            <w:r>
              <w:t>F</w:t>
            </w:r>
            <w:r w:rsidRPr="00507EEF">
              <w:t>unk</w:t>
            </w:r>
            <w:r w:rsidRPr="000C0EFB">
              <w:t>ce: jednatel</w:t>
            </w:r>
          </w:p>
        </w:tc>
        <w:tc>
          <w:tcPr>
            <w:tcW w:w="4678" w:type="dxa"/>
            <w:gridSpan w:val="2"/>
          </w:tcPr>
          <w:p w14:paraId="4CB521F3" w14:textId="6C5743E6" w:rsidR="00D27877" w:rsidRPr="00507EEF" w:rsidRDefault="00D27877" w:rsidP="00150FED">
            <w:pPr>
              <w:spacing w:before="0" w:after="0"/>
              <w:ind w:left="32"/>
            </w:pPr>
            <w:r>
              <w:t>J</w:t>
            </w:r>
            <w:r w:rsidRPr="00507EEF">
              <w:t xml:space="preserve">méno: </w:t>
            </w:r>
            <w:r w:rsidR="00A759AC">
              <w:t xml:space="preserve"> Ing. Josef Diessl</w:t>
            </w:r>
          </w:p>
          <w:p w14:paraId="5BE455CC" w14:textId="7ACF82E9" w:rsidR="00D27877" w:rsidRPr="00507EEF" w:rsidRDefault="00D27877" w:rsidP="00150FED">
            <w:pPr>
              <w:spacing w:before="0" w:after="0"/>
              <w:ind w:left="32"/>
            </w:pPr>
            <w:r>
              <w:t>F</w:t>
            </w:r>
            <w:r w:rsidRPr="00507EEF">
              <w:t xml:space="preserve">unkce: </w:t>
            </w:r>
            <w:r w:rsidR="00A759AC">
              <w:t>generální ředitel</w:t>
            </w:r>
          </w:p>
        </w:tc>
      </w:tr>
    </w:tbl>
    <w:p w14:paraId="0F6AFD41" w14:textId="77777777" w:rsidR="00D27877" w:rsidRPr="00A92EE1" w:rsidRDefault="00D27877" w:rsidP="00D27877">
      <w:pPr>
        <w:rPr>
          <w:rFonts w:cs="Arial"/>
          <w:bCs/>
          <w:iCs/>
          <w:szCs w:val="28"/>
        </w:rPr>
      </w:pPr>
    </w:p>
    <w:p w14:paraId="0088EABD" w14:textId="77777777" w:rsidR="000C1658" w:rsidRDefault="000C1658" w:rsidP="001C2AEE"/>
    <w:sectPr w:rsidR="000C1658" w:rsidSect="000D6F14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268C" w14:textId="77777777" w:rsidR="00776584" w:rsidRDefault="00776584">
      <w:r>
        <w:separator/>
      </w:r>
    </w:p>
  </w:endnote>
  <w:endnote w:type="continuationSeparator" w:id="0">
    <w:p w14:paraId="373CD5B8" w14:textId="77777777" w:rsidR="00776584" w:rsidRDefault="007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6429" w14:textId="77777777" w:rsidR="00C71ECF" w:rsidRPr="000F1DF5" w:rsidRDefault="00C71ECF" w:rsidP="00115C64">
    <w:pPr>
      <w:pStyle w:val="Footer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PageNumber"/>
        <w:rFonts w:ascii="Arial" w:hAnsi="Arial" w:cs="Arial"/>
        <w:b/>
        <w:sz w:val="15"/>
        <w:szCs w:val="15"/>
      </w:rPr>
      <w:fldChar w:fldCharType="begin"/>
    </w:r>
    <w:r w:rsidRPr="000F1DF5">
      <w:rPr>
        <w:rStyle w:val="PageNumber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PageNumber"/>
        <w:rFonts w:ascii="Arial" w:hAnsi="Arial" w:cs="Arial"/>
        <w:b/>
        <w:sz w:val="15"/>
        <w:szCs w:val="15"/>
      </w:rPr>
      <w:fldChar w:fldCharType="separate"/>
    </w:r>
    <w:r w:rsidR="000978DC">
      <w:rPr>
        <w:rStyle w:val="PageNumber"/>
        <w:rFonts w:ascii="Arial" w:hAnsi="Arial" w:cs="Arial"/>
        <w:b/>
        <w:noProof/>
        <w:sz w:val="15"/>
        <w:szCs w:val="15"/>
      </w:rPr>
      <w:t>4</w:t>
    </w:r>
    <w:r w:rsidRPr="000F1DF5">
      <w:rPr>
        <w:rStyle w:val="PageNumber"/>
        <w:rFonts w:ascii="Arial" w:hAnsi="Arial" w:cs="Arial"/>
        <w:b/>
        <w:sz w:val="15"/>
        <w:szCs w:val="15"/>
      </w:rPr>
      <w:fldChar w:fldCharType="end"/>
    </w:r>
    <w:r w:rsidRPr="000F1DF5">
      <w:rPr>
        <w:rStyle w:val="PageNumber"/>
        <w:rFonts w:ascii="Arial" w:hAnsi="Arial" w:cs="Arial"/>
        <w:b/>
        <w:sz w:val="15"/>
        <w:szCs w:val="15"/>
      </w:rPr>
      <w:t xml:space="preserve"> / </w:t>
    </w:r>
    <w:r w:rsidRPr="000F1DF5">
      <w:rPr>
        <w:rStyle w:val="PageNumber"/>
        <w:rFonts w:ascii="Arial" w:hAnsi="Arial" w:cs="Arial"/>
        <w:b/>
        <w:sz w:val="15"/>
        <w:szCs w:val="15"/>
      </w:rPr>
      <w:fldChar w:fldCharType="begin"/>
    </w:r>
    <w:r w:rsidRPr="000F1DF5">
      <w:rPr>
        <w:rStyle w:val="PageNumber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PageNumber"/>
        <w:rFonts w:ascii="Arial" w:hAnsi="Arial" w:cs="Arial"/>
        <w:b/>
        <w:sz w:val="15"/>
        <w:szCs w:val="15"/>
      </w:rPr>
      <w:fldChar w:fldCharType="separate"/>
    </w:r>
    <w:r w:rsidR="000978DC">
      <w:rPr>
        <w:rStyle w:val="PageNumber"/>
        <w:rFonts w:ascii="Arial" w:hAnsi="Arial" w:cs="Arial"/>
        <w:b/>
        <w:noProof/>
        <w:sz w:val="15"/>
        <w:szCs w:val="15"/>
      </w:rPr>
      <w:t>5</w:t>
    </w:r>
    <w:r w:rsidRPr="000F1DF5">
      <w:rPr>
        <w:rStyle w:val="PageNumber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8525" w14:textId="77777777" w:rsidR="00776584" w:rsidRDefault="00776584">
      <w:r>
        <w:separator/>
      </w:r>
    </w:p>
  </w:footnote>
  <w:footnote w:type="continuationSeparator" w:id="0">
    <w:p w14:paraId="34437CAD" w14:textId="77777777" w:rsidR="00776584" w:rsidRDefault="0077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1CFF" w14:textId="26F9DC1C" w:rsidR="000C4C18" w:rsidRDefault="000C4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18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B5D6A"/>
    <w:multiLevelType w:val="multilevel"/>
    <w:tmpl w:val="8916788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21"/>
  </w:num>
  <w:num w:numId="5">
    <w:abstractNumId w:val="1"/>
  </w:num>
  <w:num w:numId="6">
    <w:abstractNumId w:val="8"/>
  </w:num>
  <w:num w:numId="7">
    <w:abstractNumId w:val="23"/>
  </w:num>
  <w:num w:numId="8">
    <w:abstractNumId w:val="20"/>
  </w:num>
  <w:num w:numId="9">
    <w:abstractNumId w:val="25"/>
  </w:num>
  <w:num w:numId="10">
    <w:abstractNumId w:val="9"/>
  </w:num>
  <w:num w:numId="11">
    <w:abstractNumId w:val="5"/>
  </w:num>
  <w:num w:numId="12">
    <w:abstractNumId w:val="28"/>
  </w:num>
  <w:num w:numId="13">
    <w:abstractNumId w:val="22"/>
  </w:num>
  <w:num w:numId="14">
    <w:abstractNumId w:val="15"/>
  </w:num>
  <w:num w:numId="15">
    <w:abstractNumId w:val="18"/>
  </w:num>
  <w:num w:numId="16">
    <w:abstractNumId w:val="6"/>
  </w:num>
  <w:num w:numId="17">
    <w:abstractNumId w:val="24"/>
  </w:num>
  <w:num w:numId="18">
    <w:abstractNumId w:val="3"/>
  </w:num>
  <w:num w:numId="19">
    <w:abstractNumId w:val="27"/>
  </w:num>
  <w:num w:numId="20">
    <w:abstractNumId w:val="7"/>
  </w:num>
  <w:num w:numId="21">
    <w:abstractNumId w:val="10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4"/>
  </w:num>
  <w:num w:numId="25">
    <w:abstractNumId w:val="13"/>
  </w:num>
  <w:num w:numId="26">
    <w:abstractNumId w:val="2"/>
  </w:num>
  <w:num w:numId="27">
    <w:abstractNumId w:val="12"/>
  </w:num>
  <w:num w:numId="28">
    <w:abstractNumId w:val="0"/>
  </w:num>
  <w:num w:numId="29">
    <w:abstractNumId w:val="16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0"/>
    <w:rsid w:val="000005BD"/>
    <w:rsid w:val="00005E16"/>
    <w:rsid w:val="0000715D"/>
    <w:rsid w:val="000100EE"/>
    <w:rsid w:val="0001501E"/>
    <w:rsid w:val="0002246E"/>
    <w:rsid w:val="00033FD2"/>
    <w:rsid w:val="00045B0C"/>
    <w:rsid w:val="00051D3E"/>
    <w:rsid w:val="000708BF"/>
    <w:rsid w:val="000731E4"/>
    <w:rsid w:val="00084858"/>
    <w:rsid w:val="000978DC"/>
    <w:rsid w:val="000A3CEE"/>
    <w:rsid w:val="000C15A9"/>
    <w:rsid w:val="000C1658"/>
    <w:rsid w:val="000C4C18"/>
    <w:rsid w:val="000C52D4"/>
    <w:rsid w:val="000D2DFE"/>
    <w:rsid w:val="000D3DD4"/>
    <w:rsid w:val="000D4BB6"/>
    <w:rsid w:val="000D6F14"/>
    <w:rsid w:val="000D7CC9"/>
    <w:rsid w:val="000E1A47"/>
    <w:rsid w:val="000F1DF5"/>
    <w:rsid w:val="00115C64"/>
    <w:rsid w:val="00121643"/>
    <w:rsid w:val="00136447"/>
    <w:rsid w:val="00151FC6"/>
    <w:rsid w:val="001552C3"/>
    <w:rsid w:val="00165105"/>
    <w:rsid w:val="00167129"/>
    <w:rsid w:val="00175AFB"/>
    <w:rsid w:val="00180B3E"/>
    <w:rsid w:val="001B794C"/>
    <w:rsid w:val="001C2AEE"/>
    <w:rsid w:val="001D50DD"/>
    <w:rsid w:val="00204189"/>
    <w:rsid w:val="00214F33"/>
    <w:rsid w:val="0022226E"/>
    <w:rsid w:val="002224E5"/>
    <w:rsid w:val="00234017"/>
    <w:rsid w:val="00234A53"/>
    <w:rsid w:val="00252038"/>
    <w:rsid w:val="00261137"/>
    <w:rsid w:val="00280D90"/>
    <w:rsid w:val="002B6347"/>
    <w:rsid w:val="002C2157"/>
    <w:rsid w:val="002E107B"/>
    <w:rsid w:val="002E1679"/>
    <w:rsid w:val="002F3819"/>
    <w:rsid w:val="00326A98"/>
    <w:rsid w:val="00355FBC"/>
    <w:rsid w:val="00397647"/>
    <w:rsid w:val="003A2578"/>
    <w:rsid w:val="003A26B7"/>
    <w:rsid w:val="003A5DF0"/>
    <w:rsid w:val="003C0F2E"/>
    <w:rsid w:val="003C7F06"/>
    <w:rsid w:val="003D6B77"/>
    <w:rsid w:val="003E5631"/>
    <w:rsid w:val="00403B47"/>
    <w:rsid w:val="00420173"/>
    <w:rsid w:val="00424B61"/>
    <w:rsid w:val="004262C8"/>
    <w:rsid w:val="0044081F"/>
    <w:rsid w:val="00452864"/>
    <w:rsid w:val="004607F9"/>
    <w:rsid w:val="004706E0"/>
    <w:rsid w:val="004757E5"/>
    <w:rsid w:val="004909C2"/>
    <w:rsid w:val="004A03BB"/>
    <w:rsid w:val="004C3F3A"/>
    <w:rsid w:val="004D0A5A"/>
    <w:rsid w:val="004D61F1"/>
    <w:rsid w:val="00517A06"/>
    <w:rsid w:val="005438C2"/>
    <w:rsid w:val="005463D3"/>
    <w:rsid w:val="00572A5D"/>
    <w:rsid w:val="00576C25"/>
    <w:rsid w:val="005A1016"/>
    <w:rsid w:val="005B1CB1"/>
    <w:rsid w:val="005C2C5F"/>
    <w:rsid w:val="005E6329"/>
    <w:rsid w:val="006044DC"/>
    <w:rsid w:val="00620684"/>
    <w:rsid w:val="00625107"/>
    <w:rsid w:val="00626F68"/>
    <w:rsid w:val="0062712A"/>
    <w:rsid w:val="0063375C"/>
    <w:rsid w:val="00635FEC"/>
    <w:rsid w:val="006445BB"/>
    <w:rsid w:val="00645977"/>
    <w:rsid w:val="006550EA"/>
    <w:rsid w:val="006575D5"/>
    <w:rsid w:val="00670F77"/>
    <w:rsid w:val="00681672"/>
    <w:rsid w:val="00681752"/>
    <w:rsid w:val="00681C3F"/>
    <w:rsid w:val="00687000"/>
    <w:rsid w:val="006913F0"/>
    <w:rsid w:val="00694320"/>
    <w:rsid w:val="006A25E0"/>
    <w:rsid w:val="006D5B18"/>
    <w:rsid w:val="006E4462"/>
    <w:rsid w:val="006F2FC6"/>
    <w:rsid w:val="006F7E96"/>
    <w:rsid w:val="00730441"/>
    <w:rsid w:val="0077430E"/>
    <w:rsid w:val="00776584"/>
    <w:rsid w:val="007812A1"/>
    <w:rsid w:val="00797195"/>
    <w:rsid w:val="00797DD8"/>
    <w:rsid w:val="007A0DFD"/>
    <w:rsid w:val="007A5AC7"/>
    <w:rsid w:val="007C34A9"/>
    <w:rsid w:val="007D789D"/>
    <w:rsid w:val="007E1044"/>
    <w:rsid w:val="007F2154"/>
    <w:rsid w:val="00812081"/>
    <w:rsid w:val="008218FD"/>
    <w:rsid w:val="008412BD"/>
    <w:rsid w:val="00841743"/>
    <w:rsid w:val="00854BAE"/>
    <w:rsid w:val="008667C5"/>
    <w:rsid w:val="008A6798"/>
    <w:rsid w:val="008B0D91"/>
    <w:rsid w:val="008F3569"/>
    <w:rsid w:val="008F6868"/>
    <w:rsid w:val="008F7AF7"/>
    <w:rsid w:val="009001D1"/>
    <w:rsid w:val="00900C5C"/>
    <w:rsid w:val="00917FD4"/>
    <w:rsid w:val="00934436"/>
    <w:rsid w:val="00946CD8"/>
    <w:rsid w:val="00947A65"/>
    <w:rsid w:val="00950322"/>
    <w:rsid w:val="00962CFB"/>
    <w:rsid w:val="009653CC"/>
    <w:rsid w:val="00975CC4"/>
    <w:rsid w:val="00980AED"/>
    <w:rsid w:val="009A7B21"/>
    <w:rsid w:val="009D0CFD"/>
    <w:rsid w:val="009D4120"/>
    <w:rsid w:val="009D5CA4"/>
    <w:rsid w:val="009F5527"/>
    <w:rsid w:val="00A02763"/>
    <w:rsid w:val="00A032F6"/>
    <w:rsid w:val="00A03D69"/>
    <w:rsid w:val="00A045F5"/>
    <w:rsid w:val="00A13CC7"/>
    <w:rsid w:val="00A20385"/>
    <w:rsid w:val="00A446FF"/>
    <w:rsid w:val="00A53BCD"/>
    <w:rsid w:val="00A6248B"/>
    <w:rsid w:val="00A66335"/>
    <w:rsid w:val="00A74CED"/>
    <w:rsid w:val="00A759AC"/>
    <w:rsid w:val="00A8169A"/>
    <w:rsid w:val="00AB79E1"/>
    <w:rsid w:val="00AC1DF4"/>
    <w:rsid w:val="00AD1771"/>
    <w:rsid w:val="00AE0032"/>
    <w:rsid w:val="00AF26A5"/>
    <w:rsid w:val="00B1543C"/>
    <w:rsid w:val="00B174DA"/>
    <w:rsid w:val="00B20F4D"/>
    <w:rsid w:val="00B62C10"/>
    <w:rsid w:val="00B64225"/>
    <w:rsid w:val="00B71F29"/>
    <w:rsid w:val="00B84AE9"/>
    <w:rsid w:val="00B8624F"/>
    <w:rsid w:val="00BC5BD3"/>
    <w:rsid w:val="00BE0C27"/>
    <w:rsid w:val="00BE0D5C"/>
    <w:rsid w:val="00BF72D4"/>
    <w:rsid w:val="00BF7743"/>
    <w:rsid w:val="00C010B4"/>
    <w:rsid w:val="00C07942"/>
    <w:rsid w:val="00C16480"/>
    <w:rsid w:val="00C20B10"/>
    <w:rsid w:val="00C23A8F"/>
    <w:rsid w:val="00C25EA6"/>
    <w:rsid w:val="00C54BEE"/>
    <w:rsid w:val="00C57669"/>
    <w:rsid w:val="00C71ECF"/>
    <w:rsid w:val="00C779FD"/>
    <w:rsid w:val="00C83373"/>
    <w:rsid w:val="00C85700"/>
    <w:rsid w:val="00C93545"/>
    <w:rsid w:val="00C94952"/>
    <w:rsid w:val="00C96716"/>
    <w:rsid w:val="00C96A38"/>
    <w:rsid w:val="00CB25C5"/>
    <w:rsid w:val="00CD440F"/>
    <w:rsid w:val="00CD4AC7"/>
    <w:rsid w:val="00CE380A"/>
    <w:rsid w:val="00CE4B71"/>
    <w:rsid w:val="00CE5E82"/>
    <w:rsid w:val="00CF7B10"/>
    <w:rsid w:val="00D115EA"/>
    <w:rsid w:val="00D27877"/>
    <w:rsid w:val="00D37DE0"/>
    <w:rsid w:val="00D644A4"/>
    <w:rsid w:val="00D7359C"/>
    <w:rsid w:val="00D73F0B"/>
    <w:rsid w:val="00D8772B"/>
    <w:rsid w:val="00DB050C"/>
    <w:rsid w:val="00DC024C"/>
    <w:rsid w:val="00DC0410"/>
    <w:rsid w:val="00DC1B41"/>
    <w:rsid w:val="00DC7EBA"/>
    <w:rsid w:val="00DD2B27"/>
    <w:rsid w:val="00E06EC2"/>
    <w:rsid w:val="00E07E67"/>
    <w:rsid w:val="00E17B1D"/>
    <w:rsid w:val="00E2532A"/>
    <w:rsid w:val="00E42D1A"/>
    <w:rsid w:val="00E47028"/>
    <w:rsid w:val="00E62684"/>
    <w:rsid w:val="00E71200"/>
    <w:rsid w:val="00E7618E"/>
    <w:rsid w:val="00E94CD7"/>
    <w:rsid w:val="00EC4025"/>
    <w:rsid w:val="00ED7945"/>
    <w:rsid w:val="00EF4594"/>
    <w:rsid w:val="00F00B1C"/>
    <w:rsid w:val="00F13148"/>
    <w:rsid w:val="00F53B4C"/>
    <w:rsid w:val="00F71F66"/>
    <w:rsid w:val="00F768CD"/>
    <w:rsid w:val="00F81417"/>
    <w:rsid w:val="00F95109"/>
    <w:rsid w:val="00FA41BE"/>
    <w:rsid w:val="00FB02D9"/>
    <w:rsid w:val="00FD0419"/>
    <w:rsid w:val="00FD3065"/>
    <w:rsid w:val="00FD510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BD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rsid w:val="00626F68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rsid w:val="00626F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1">
    <w:name w:val="Nadpis 11"/>
    <w:basedOn w:val="Heading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Heading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al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al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al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al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al"/>
    <w:link w:val="TextiChar"/>
    <w:qFormat/>
    <w:rsid w:val="008F6868"/>
    <w:pPr>
      <w:keepNext/>
      <w:ind w:left="1418"/>
    </w:pPr>
    <w:rPr>
      <w:szCs w:val="20"/>
    </w:rPr>
  </w:style>
  <w:style w:type="paragraph" w:styleId="Header">
    <w:name w:val="header"/>
    <w:aliases w:val="HH Header"/>
    <w:basedOn w:val="Normal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al"/>
    <w:qFormat/>
    <w:rsid w:val="00E07E67"/>
    <w:pPr>
      <w:widowControl w:val="0"/>
      <w:numPr>
        <w:numId w:val="12"/>
      </w:numPr>
      <w:ind w:hanging="567"/>
    </w:pPr>
  </w:style>
  <w:style w:type="paragraph" w:styleId="FootnoteText">
    <w:name w:val="footnote text"/>
    <w:aliases w:val="fn"/>
    <w:basedOn w:val="Normal"/>
    <w:link w:val="FootnoteTextChar"/>
    <w:rsid w:val="004757E5"/>
    <w:rPr>
      <w:sz w:val="18"/>
      <w:szCs w:val="20"/>
    </w:rPr>
  </w:style>
  <w:style w:type="paragraph" w:styleId="TOC2">
    <w:name w:val="toc 2"/>
    <w:basedOn w:val="Normal"/>
    <w:next w:val="Normal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CB25C5"/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FootnoteReference">
    <w:name w:val="footnote reference"/>
    <w:basedOn w:val="DefaultParagraphFont"/>
    <w:rsid w:val="00FD3065"/>
    <w:rPr>
      <w:vertAlign w:val="superscript"/>
    </w:rPr>
  </w:style>
  <w:style w:type="paragraph" w:styleId="Footer">
    <w:name w:val="footer"/>
    <w:basedOn w:val="Normal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PageNumber">
    <w:name w:val="page number"/>
    <w:basedOn w:val="DefaultParagraphFont"/>
    <w:semiHidden/>
    <w:rsid w:val="00572A5D"/>
  </w:style>
  <w:style w:type="paragraph" w:customStyle="1" w:styleId="HHTitleTitulnistrana">
    <w:name w:val="HH_Title_Titulni_strana"/>
    <w:basedOn w:val="Title"/>
    <w:next w:val="Normal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al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Title">
    <w:name w:val="Title"/>
    <w:basedOn w:val="Normal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Title"/>
    <w:rsid w:val="009653CC"/>
    <w:pPr>
      <w:spacing w:after="120"/>
    </w:pPr>
  </w:style>
  <w:style w:type="paragraph" w:customStyle="1" w:styleId="Smluvnistranypreambule">
    <w:name w:val="Smluvni_strany_preambule"/>
    <w:basedOn w:val="Normal"/>
    <w:next w:val="Normal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DocumentMap">
    <w:name w:val="Document Map"/>
    <w:basedOn w:val="Normal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al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al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DefaultParagraphFont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DefaultParagraphFont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DefaultParagraphFont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FootnoteTextChar">
    <w:name w:val="Footnote Text Char"/>
    <w:aliases w:val="fn Char"/>
    <w:link w:val="FootnoteText"/>
    <w:rsid w:val="000C15A9"/>
    <w:rPr>
      <w:sz w:val="18"/>
      <w:lang w:eastAsia="en-US"/>
    </w:rPr>
  </w:style>
  <w:style w:type="paragraph" w:styleId="BalloonText">
    <w:name w:val="Balloon Text"/>
    <w:basedOn w:val="Normal"/>
    <w:link w:val="BalloonText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B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2712A"/>
    <w:pPr>
      <w:overflowPunct w:val="0"/>
      <w:autoSpaceDE w:val="0"/>
      <w:autoSpaceDN w:val="0"/>
      <w:adjustRightInd w:val="0"/>
      <w:spacing w:before="0" w:after="0"/>
      <w:ind w:left="720"/>
      <w:contextualSpacing/>
      <w:jc w:val="left"/>
      <w:textAlignment w:val="baseline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6166-A4BB-41E9-A91C-BE036526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4570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2022-12-16T10:07:00Z</dcterms:created>
  <dcterms:modified xsi:type="dcterms:W3CDTF">2022-12-16T10:07:00Z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2022-10-18T21:20:21Z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a224cbcd-de84-4e03-ad74-b3e3d12e31b0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