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  <w:br w:type="column"/>
      </w:r>
      <w:r>
        <w:rPr>
          <w:rStyle w:val="CharStyle7"/>
          <w:smallCaps/>
          <w:sz w:val="18"/>
          <w:szCs w:val="18"/>
        </w:rPr>
        <w:t>krajská správa</w:t>
      </w:r>
      <w:r>
        <w:rPr>
          <w:rStyle w:val="CharStyle7"/>
        </w:rPr>
        <w:t xml:space="preserve"> A </w:t>
      </w:r>
      <w:r>
        <w:rPr>
          <w:rStyle w:val="CharStyle7"/>
          <w:smallCaps/>
          <w:sz w:val="18"/>
          <w:szCs w:val="18"/>
        </w:rPr>
        <w:t>údržba</w:t>
      </w:r>
      <w:r>
        <w:rPr>
          <w:rStyle w:val="CharStyle7"/>
        </w:rPr>
        <w:t xml:space="preserve"> SILNIC VYSOČINY I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SMLOUVA REGISTROVÁNA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226" w:val="left"/>
        </w:tabs>
        <w:bidi w:val="0"/>
        <w:spacing w:before="0" w:after="0" w:line="28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26" w:left="1344" w:right="1168" w:bottom="718" w:header="298" w:footer="290" w:gutter="0"/>
          <w:pgNumType w:start="1"/>
          <w:cols w:num="2" w:space="720" w:equalWidth="0">
            <w:col w:w="3878" w:space="2160"/>
            <w:col w:w="335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pod číslem;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&gt;</w:t>
      </w: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5" w:left="0" w:right="0" w:bottom="7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8"/>
        <w:gridCol w:w="6955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50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5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..Objednatel“)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99"/>
        <w:gridCol w:w="5318"/>
      </w:tblGrid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Zemědělské družstvo Maleč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Maleč 49, 582 76 Maleč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Vít Simon, Ph.D, předseda představenstva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557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15058751</w:t>
              <w:tab/>
              <w:t>DIČ: CZ15058751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.^Zhotovitel“)</w:t>
      </w:r>
    </w:p>
    <w:p>
      <w:pPr>
        <w:widowControl w:val="0"/>
        <w:spacing w:after="5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3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zněm: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nebo odstraňování sněhových závějí dopravními prostředky zhotovitele.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;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 Objednatel se zavazuje za provedené práce zhotoviteli řádně a včas zaplatit a to na základě řádně vystavené faktury dle čl. IV.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 Zhotovitel je povinen provádět práce specifikované v čl. I odst. 1 této Smlouvy.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8" w:val="left"/>
        </w:tabs>
        <w:bidi w:val="0"/>
        <w:spacing w:before="0" w:after="300" w:line="266" w:lineRule="auto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 - cestmistrovství Chotěboř.</w:t>
      </w: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či. I. v zimním období roku 2022/2023, a to konkrétně od 1.11.2022 do 31.3.2023.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dle svých možností na telefonní výzvu dispečera zimní údržby Chotěboř - tel.: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32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IV. Cena díla a fakturace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ve výši max. 1.200,- Kč/hod. + DPH platné v daném období v závislosti na typu mechanizace.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V. Závěrečná ustanovení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2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5" w:left="985" w:right="1204" w:bottom="708" w:header="307" w:footer="280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3870325</wp:posOffset>
            </wp:positionH>
            <wp:positionV relativeFrom="margin">
              <wp:posOffset>7400290</wp:posOffset>
            </wp:positionV>
            <wp:extent cx="1798320" cy="23749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8320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767080</wp:posOffset>
            </wp:positionH>
            <wp:positionV relativeFrom="margin">
              <wp:posOffset>8717280</wp:posOffset>
            </wp:positionV>
            <wp:extent cx="164465" cy="2317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4465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1754505</wp:posOffset>
            </wp:positionH>
            <wp:positionV relativeFrom="margin">
              <wp:posOffset>8869680</wp:posOffset>
            </wp:positionV>
            <wp:extent cx="189230" cy="1708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923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Malči dne : . </w:t>
      </w:r>
      <w:r>
        <w:rPr>
          <w:color w:val="61627E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Jí.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; </w:t>
      </w:r>
      <w:r>
        <w:rPr>
          <w:color w:val="61627E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íí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■.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2" w:left="0" w:right="0" w:bottom="8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66700" distL="114300" distR="114300" simplePos="0" relativeHeight="125829379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411480</wp:posOffset>
                </wp:positionV>
                <wp:extent cx="1532890" cy="2044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07.45pt;margin-top:32.399999999999999pt;width:120.7pt;height:16.100000000000001pt;z-index:-125829374;mso-wrap-distance-left:9.pt;mso-wrap-distance-right:9.pt;mso-wrap-distance-bottom:2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Z/ Zhotovitele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Vít Šimon, PÍi.D.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(^jednatele Ing. Radovan Necid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22" w:left="2112" w:right="2678" w:bottom="822" w:header="0" w:footer="3" w:gutter="0"/>
      <w:cols w:num="2" w:space="287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Nadpis #3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40" w:line="295" w:lineRule="auto"/>
      <w:outlineLvl w:val="0"/>
    </w:pPr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6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FFFFFF"/>
      <w:spacing w:line="252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