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theme/theme1.xml" ContentType="application/vnd.openxmlformats-officedocument.theme+xml"/>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Calibri" w:hAnsi="Calibri" w:cs="Calibri" w:asciiTheme="minorHAnsi" w:cstheme="minorHAnsi" w:hAnsiTheme="minorHAnsi"/>
          <w:b/>
          <w:b/>
          <w:sz w:val="22"/>
          <w:szCs w:val="22"/>
        </w:rPr>
      </w:pPr>
      <w:r>
        <w:rPr>
          <w:rFonts w:cs="Calibri" w:cstheme="minorHAnsi" w:ascii="Calibri" w:hAnsi="Calibri"/>
          <w:b/>
          <w:sz w:val="22"/>
          <w:szCs w:val="22"/>
        </w:rPr>
      </w:r>
    </w:p>
    <w:p>
      <w:pPr>
        <w:pStyle w:val="Normal"/>
        <w:jc w:val="center"/>
        <w:rPr>
          <w:rFonts w:ascii="Calibri" w:hAnsi="Calibri" w:cs="Calibri" w:asciiTheme="minorHAnsi" w:cstheme="minorHAnsi" w:hAnsiTheme="minorHAnsi"/>
          <w:b/>
          <w:b/>
          <w:sz w:val="22"/>
          <w:szCs w:val="22"/>
        </w:rPr>
      </w:pPr>
      <w:r>
        <w:rPr>
          <w:rFonts w:cs="Calibri" w:ascii="Calibri" w:hAnsi="Calibri" w:asciiTheme="minorHAnsi" w:cstheme="minorHAnsi" w:hAnsiTheme="minorHAnsi"/>
          <w:b/>
          <w:sz w:val="22"/>
          <w:szCs w:val="22"/>
        </w:rPr>
        <w:t>DODATEK č. 1</w:t>
      </w:r>
    </w:p>
    <w:p>
      <w:pPr>
        <w:pStyle w:val="Normal"/>
        <w:jc w:val="center"/>
        <w:rPr>
          <w:rFonts w:ascii="Calibri" w:hAnsi="Calibri" w:cs="Calibri" w:asciiTheme="minorHAnsi" w:cstheme="minorHAnsi" w:hAnsiTheme="minorHAnsi"/>
          <w:b/>
          <w:b/>
          <w:sz w:val="22"/>
          <w:szCs w:val="22"/>
        </w:rPr>
      </w:pPr>
      <w:r>
        <w:rPr>
          <w:rFonts w:cs="Calibri" w:ascii="Calibri" w:hAnsi="Calibri" w:asciiTheme="minorHAnsi" w:cstheme="minorHAnsi" w:hAnsiTheme="minorHAnsi"/>
          <w:b/>
          <w:sz w:val="22"/>
          <w:szCs w:val="22"/>
        </w:rPr>
        <w:t xml:space="preserve">ke Kupní smlouvě na prodej a koupi hnědého uhlí na rok 2016 - 2018/2020 </w:t>
      </w:r>
    </w:p>
    <w:p>
      <w:pPr>
        <w:pStyle w:val="Normal"/>
        <w:jc w:val="center"/>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(dále jen „</w:t>
      </w:r>
      <w:r>
        <w:rPr>
          <w:rFonts w:cs="Calibri" w:ascii="Calibri" w:hAnsi="Calibri" w:asciiTheme="minorHAnsi" w:cstheme="minorHAnsi" w:hAnsiTheme="minorHAnsi"/>
          <w:b/>
          <w:sz w:val="22"/>
          <w:szCs w:val="22"/>
        </w:rPr>
        <w:t>Dodatek</w:t>
      </w:r>
      <w:r>
        <w:rPr>
          <w:rFonts w:cs="Calibri" w:ascii="Calibri" w:hAnsi="Calibri" w:asciiTheme="minorHAnsi" w:cstheme="minorHAnsi" w:hAnsiTheme="minorHAnsi"/>
          <w:sz w:val="22"/>
          <w:szCs w:val="22"/>
        </w:rPr>
        <w:t>“)</w:t>
      </w:r>
    </w:p>
    <w:p>
      <w:pPr>
        <w:pStyle w:val="Normal"/>
        <w:jc w:val="center"/>
        <w:rPr>
          <w:rFonts w:ascii="Calibri" w:hAnsi="Calibri" w:cs="Calibri" w:asciiTheme="minorHAnsi" w:cstheme="minorHAnsi" w:hAnsiTheme="minorHAnsi"/>
          <w:b/>
          <w:b/>
          <w:sz w:val="22"/>
          <w:szCs w:val="22"/>
        </w:rPr>
      </w:pPr>
      <w:r>
        <w:rPr>
          <w:rFonts w:cs="Calibri" w:cstheme="minorHAnsi" w:ascii="Calibri" w:hAnsi="Calibri"/>
          <w:b/>
          <w:sz w:val="22"/>
          <w:szCs w:val="22"/>
        </w:rPr>
      </w:r>
    </w:p>
    <w:p>
      <w:pPr>
        <w:pStyle w:val="Normal"/>
        <w:spacing w:lineRule="atLeast" w:line="23" w:before="0" w:after="360"/>
        <w:jc w:val="center"/>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který uzavírají níže uvedeného dne, měsíce a roku</w:t>
      </w:r>
    </w:p>
    <w:p>
      <w:pPr>
        <w:pStyle w:val="Normal"/>
        <w:spacing w:lineRule="atLeast" w:line="23" w:before="240" w:after="240"/>
        <w:jc w:val="both"/>
        <w:rPr>
          <w:rFonts w:ascii="Calibri" w:hAnsi="Calibri" w:cs="Calibri" w:asciiTheme="minorHAnsi" w:cstheme="minorHAnsi" w:hAnsiTheme="minorHAnsi"/>
          <w:b/>
          <w:b/>
          <w:sz w:val="22"/>
          <w:szCs w:val="22"/>
        </w:rPr>
      </w:pPr>
      <w:r>
        <w:rPr>
          <w:rFonts w:cs="Calibri" w:ascii="Calibri" w:hAnsi="Calibri" w:asciiTheme="minorHAnsi" w:cstheme="minorHAnsi" w:hAnsiTheme="minorHAnsi"/>
          <w:b/>
          <w:sz w:val="22"/>
          <w:szCs w:val="22"/>
        </w:rPr>
        <w:t>Severočeské doly a.s.</w:t>
      </w:r>
    </w:p>
    <w:p>
      <w:pPr>
        <w:pStyle w:val="Normal"/>
        <w:spacing w:lineRule="atLeast" w:line="23"/>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Sídlo:</w:t>
        <w:tab/>
        <w:tab/>
        <w:tab/>
        <w:tab/>
        <w:t>Boženy Němcové 5359, Chomutov, PSČ 430 01</w:t>
      </w:r>
    </w:p>
    <w:p>
      <w:pPr>
        <w:pStyle w:val="Normal"/>
        <w:spacing w:lineRule="atLeast" w:line="23"/>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Zapsána v obchodním rejstříku</w:t>
        <w:tab/>
        <w:t xml:space="preserve">vedeném Krajským soudem v Ústí nad Labem, oddíl B, vložka 495 </w:t>
      </w:r>
    </w:p>
    <w:p>
      <w:pPr>
        <w:pStyle w:val="Normal"/>
        <w:spacing w:lineRule="atLeast" w:line="23"/>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 xml:space="preserve">IČO: </w:t>
        <w:tab/>
        <w:tab/>
        <w:tab/>
        <w:tab/>
        <w:t>49901982</w:t>
      </w:r>
    </w:p>
    <w:p>
      <w:pPr>
        <w:pStyle w:val="Normal"/>
        <w:spacing w:lineRule="atLeast" w:line="23"/>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 xml:space="preserve">DIČ: </w:t>
        <w:tab/>
        <w:tab/>
        <w:tab/>
        <w:tab/>
        <w:t>CZ49901982</w:t>
      </w:r>
    </w:p>
    <w:p>
      <w:pPr>
        <w:pStyle w:val="Normal"/>
        <w:spacing w:lineRule="atLeast" w:line="23"/>
        <w:ind w:left="2832" w:hanging="2832"/>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Zastoupena:</w:t>
        <w:tab/>
        <w:t xml:space="preserve">Ing. Ivo Pěgřímek, Ph.D., předseda představenstva </w:t>
      </w:r>
    </w:p>
    <w:p>
      <w:pPr>
        <w:pStyle w:val="Normal"/>
        <w:spacing w:lineRule="atLeast" w:line="23"/>
        <w:ind w:left="2832" w:hanging="0"/>
        <w:jc w:val="both"/>
        <w:rPr>
          <w:rFonts w:ascii="Calibri" w:hAnsi="Calibri" w:cs="Calibri" w:asciiTheme="minorHAnsi" w:cstheme="minorHAnsi" w:hAnsiTheme="minorHAnsi"/>
          <w:sz w:val="22"/>
          <w:szCs w:val="22"/>
        </w:rPr>
      </w:pPr>
      <w:r>
        <w:rPr>
          <w:rFonts w:cs="Calibri" w:ascii="Calibri" w:hAnsi="Calibri"/>
          <w:sz w:val="22"/>
          <w:szCs w:val="22"/>
        </w:rPr>
        <w:t>Ing. Ladislav Feber, člen představenstva</w:t>
      </w:r>
      <w:r>
        <w:rPr>
          <w:rFonts w:cs="Calibri" w:ascii="Calibri" w:hAnsi="Calibri" w:asciiTheme="minorHAnsi" w:cstheme="minorHAnsi" w:hAnsiTheme="minorHAnsi"/>
          <w:sz w:val="22"/>
          <w:szCs w:val="22"/>
        </w:rPr>
        <w:t xml:space="preserve"> </w:t>
      </w:r>
    </w:p>
    <w:p>
      <w:pPr>
        <w:pStyle w:val="Normal"/>
        <w:spacing w:lineRule="atLeast" w:line="23"/>
        <w:ind w:left="2832" w:hanging="2832"/>
        <w:jc w:val="both"/>
        <w:rPr>
          <w:rFonts w:ascii="Calibri" w:hAnsi="Calibri" w:cs="Calibri"/>
          <w:sz w:val="22"/>
          <w:szCs w:val="22"/>
        </w:rPr>
      </w:pPr>
      <w:r>
        <w:rPr>
          <w:rFonts w:cs="Calibri" w:ascii="Calibri" w:hAnsi="Calibri" w:asciiTheme="minorHAnsi" w:cstheme="minorHAnsi" w:hAnsiTheme="minorHAnsi"/>
          <w:sz w:val="22"/>
          <w:szCs w:val="22"/>
        </w:rPr>
        <w:t xml:space="preserve">Bankovní spojení: </w:t>
        <w:tab/>
      </w:r>
      <w:r>
        <w:rPr>
          <w:rFonts w:cs="Calibri" w:ascii="Calibri" w:hAnsi="Calibri"/>
          <w:sz w:val="22"/>
          <w:szCs w:val="22"/>
        </w:rPr>
        <w:t xml:space="preserve">Komerční banka, a.s., č. účtu 3392830217/0100, </w:t>
      </w:r>
    </w:p>
    <w:p>
      <w:pPr>
        <w:pStyle w:val="Normal"/>
        <w:spacing w:lineRule="atLeast" w:line="23"/>
        <w:ind w:left="2832" w:hanging="2832"/>
        <w:jc w:val="both"/>
        <w:rPr>
          <w:rFonts w:ascii="Calibri" w:hAnsi="Calibri" w:cs="Calibri"/>
          <w:sz w:val="22"/>
          <w:szCs w:val="22"/>
        </w:rPr>
      </w:pPr>
      <w:r>
        <w:rPr>
          <w:rFonts w:cs="Calibri" w:ascii="Calibri" w:hAnsi="Calibri" w:asciiTheme="minorHAnsi" w:cstheme="minorHAnsi" w:hAnsiTheme="minorHAnsi"/>
          <w:sz w:val="22"/>
          <w:szCs w:val="22"/>
        </w:rPr>
        <w:t xml:space="preserve"> </w:t>
      </w:r>
      <w:r>
        <w:rPr>
          <w:rFonts w:cs="Calibri" w:ascii="Calibri" w:hAnsi="Calibri" w:asciiTheme="minorHAnsi" w:cstheme="minorHAnsi" w:hAnsiTheme="minorHAnsi"/>
          <w:sz w:val="22"/>
          <w:szCs w:val="22"/>
        </w:rPr>
        <w:tab/>
      </w:r>
      <w:r>
        <w:rPr>
          <w:rFonts w:cs="Calibri" w:ascii="Calibri" w:hAnsi="Calibri"/>
          <w:sz w:val="22"/>
          <w:szCs w:val="22"/>
        </w:rPr>
        <w:t>IBAN CZ25 0100 0000 0033 9283 0217</w:t>
      </w:r>
    </w:p>
    <w:p>
      <w:pPr>
        <w:pStyle w:val="Normal"/>
        <w:spacing w:lineRule="atLeast" w:line="23"/>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Kontaktní adresa:</w:t>
        <w:tab/>
        <w:tab/>
        <w:t>Severočeské doly a. s., obchodní odbor, ul. 5. května č. 213, 418 29 Bílina</w:t>
      </w:r>
    </w:p>
    <w:p>
      <w:pPr>
        <w:pStyle w:val="Normal"/>
        <w:spacing w:lineRule="atLeast" w:line="23"/>
        <w:ind w:left="3544" w:hanging="3544"/>
        <w:rPr/>
      </w:pPr>
      <w:r>
        <w:rPr>
          <w:rFonts w:cs="Calibri" w:ascii="Calibri" w:hAnsi="Calibri" w:asciiTheme="minorHAnsi" w:cstheme="minorHAnsi" w:hAnsiTheme="minorHAnsi"/>
          <w:color w:val="000000"/>
          <w:sz w:val="22"/>
          <w:szCs w:val="22"/>
        </w:rPr>
        <w:t>O</w:t>
      </w:r>
      <w:r>
        <w:rPr>
          <w:rFonts w:cs="Calibri" w:ascii="Calibri" w:hAnsi="Calibri" w:asciiTheme="minorHAnsi" w:cstheme="minorHAnsi" w:hAnsiTheme="minorHAnsi"/>
          <w:sz w:val="22"/>
          <w:szCs w:val="22"/>
        </w:rPr>
        <w:t>soby pověřené k jednání ve věcech smluvních:</w:t>
        <w:tab/>
        <w:t>Ing. Daniel Kryl - manažer útvaru obchodu</w:t>
      </w:r>
    </w:p>
    <w:p>
      <w:pPr>
        <w:pStyle w:val="Normal"/>
        <w:tabs>
          <w:tab w:val="right" w:pos="3402" w:leader="none"/>
        </w:tabs>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ab/>
        <w:tab/>
        <w:tab/>
        <w:tab/>
        <w:t>telefon: +420 474 604 264</w:t>
      </w:r>
    </w:p>
    <w:p>
      <w:pPr>
        <w:pStyle w:val="Normal"/>
        <w:tabs>
          <w:tab w:val="right" w:pos="3402" w:leader="none"/>
        </w:tabs>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ab/>
        <w:tab/>
        <w:tab/>
        <w:tab/>
        <w:t>e-mail: kryl@sdas.cz</w:t>
      </w:r>
    </w:p>
    <w:p>
      <w:pPr>
        <w:pStyle w:val="Normal"/>
        <w:tabs>
          <w:tab w:val="right" w:pos="3402" w:leader="none"/>
        </w:tabs>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ab/>
        <w:tab/>
        <w:tab/>
        <w:tab/>
        <w:t>Ing. Pavel Novotný, MBA – vedoucí odboru obchodu</w:t>
      </w:r>
    </w:p>
    <w:p>
      <w:pPr>
        <w:pStyle w:val="Normal"/>
        <w:tabs>
          <w:tab w:val="right" w:pos="3402" w:leader="none"/>
        </w:tabs>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ab/>
        <w:tab/>
        <w:tab/>
        <w:tab/>
        <w:t>telefon: +420 417 804 211</w:t>
      </w:r>
    </w:p>
    <w:p>
      <w:pPr>
        <w:pStyle w:val="Normal"/>
        <w:tabs>
          <w:tab w:val="right" w:pos="3402" w:leader="none"/>
        </w:tabs>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ab/>
        <w:tab/>
        <w:tab/>
        <w:tab/>
        <w:t>e-mail: novotny.pavel@sdas.cz</w:t>
      </w:r>
    </w:p>
    <w:p>
      <w:pPr>
        <w:pStyle w:val="Normal"/>
        <w:spacing w:lineRule="atLeast" w:line="23" w:before="0" w:after="240"/>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(dále jen „</w:t>
      </w:r>
      <w:r>
        <w:rPr>
          <w:rFonts w:cs="Calibri" w:ascii="Calibri" w:hAnsi="Calibri" w:asciiTheme="minorHAnsi" w:cstheme="minorHAnsi" w:hAnsiTheme="minorHAnsi"/>
          <w:b/>
          <w:sz w:val="22"/>
          <w:szCs w:val="22"/>
        </w:rPr>
        <w:t>Prodávající</w:t>
      </w:r>
      <w:r>
        <w:rPr>
          <w:rFonts w:cs="Calibri" w:ascii="Calibri" w:hAnsi="Calibri" w:asciiTheme="minorHAnsi" w:cstheme="minorHAnsi" w:hAnsiTheme="minorHAnsi"/>
          <w:sz w:val="22"/>
          <w:szCs w:val="22"/>
        </w:rPr>
        <w:t>“)</w:t>
      </w:r>
    </w:p>
    <w:p>
      <w:pPr>
        <w:pStyle w:val="Normal"/>
        <w:spacing w:lineRule="atLeast" w:line="23"/>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spacing w:lineRule="atLeast" w:line="23" w:before="0" w:after="240"/>
        <w:rPr>
          <w:rFonts w:ascii="Calibri" w:hAnsi="Calibri" w:cs="Calibri" w:asciiTheme="minorHAnsi" w:cstheme="minorHAnsi" w:hAnsiTheme="minorHAnsi"/>
          <w:b/>
          <w:b/>
          <w:sz w:val="22"/>
          <w:szCs w:val="22"/>
        </w:rPr>
      </w:pPr>
      <w:r>
        <w:rPr>
          <w:rFonts w:cs="Calibri" w:ascii="Calibri" w:hAnsi="Calibri" w:asciiTheme="minorHAnsi" w:cstheme="minorHAnsi" w:hAnsiTheme="minorHAnsi"/>
          <w:b/>
          <w:sz w:val="22"/>
          <w:szCs w:val="22"/>
        </w:rPr>
        <w:t>a</w:t>
      </w:r>
    </w:p>
    <w:p>
      <w:pPr>
        <w:pStyle w:val="Normal"/>
        <w:spacing w:lineRule="atLeast" w:line="23"/>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spacing w:before="0" w:after="120"/>
        <w:jc w:val="both"/>
        <w:rPr>
          <w:rFonts w:ascii="Calibri" w:hAnsi="Calibri" w:cs="Calibri"/>
          <w:b/>
          <w:b/>
          <w:sz w:val="22"/>
          <w:szCs w:val="22"/>
        </w:rPr>
      </w:pPr>
      <w:r>
        <w:rPr>
          <w:rFonts w:cs="Calibri" w:ascii="Calibri" w:hAnsi="Calibri"/>
          <w:b/>
          <w:sz w:val="22"/>
          <w:szCs w:val="22"/>
        </w:rPr>
        <w:t>KLATOVSKÁ TEPLÁRNA a.s.</w:t>
        <w:tab/>
        <w:tab/>
      </w:r>
    </w:p>
    <w:p>
      <w:pPr>
        <w:pStyle w:val="Normal"/>
        <w:jc w:val="both"/>
        <w:rPr>
          <w:rFonts w:ascii="Calibri" w:hAnsi="Calibri" w:cs="Calibri"/>
          <w:sz w:val="22"/>
          <w:szCs w:val="22"/>
        </w:rPr>
      </w:pPr>
      <w:r>
        <w:rPr>
          <w:rFonts w:cs="Calibri" w:ascii="Calibri" w:hAnsi="Calibri"/>
          <w:sz w:val="22"/>
          <w:szCs w:val="22"/>
        </w:rPr>
        <w:t>Sídlo:</w:t>
        <w:tab/>
        <w:tab/>
        <w:tab/>
        <w:tab/>
        <w:t>Klatovy II, Jateční 660, PSČ 33901</w:t>
        <w:tab/>
        <w:tab/>
      </w:r>
    </w:p>
    <w:p>
      <w:pPr>
        <w:pStyle w:val="Normal"/>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Zapsána v obchodním rejstříku</w:t>
        <w:tab/>
        <w:t>vedeném Krajským soudem v Plzni, oddíl B, vložka 404</w:t>
      </w:r>
    </w:p>
    <w:p>
      <w:pPr>
        <w:pStyle w:val="Normal"/>
        <w:jc w:val="both"/>
        <w:rPr>
          <w:rFonts w:ascii="Calibri" w:hAnsi="Calibri" w:cs="Calibri"/>
          <w:sz w:val="22"/>
          <w:szCs w:val="22"/>
        </w:rPr>
      </w:pPr>
      <w:r>
        <w:rPr>
          <w:rFonts w:cs="Calibri" w:ascii="Calibri" w:hAnsi="Calibri"/>
          <w:sz w:val="22"/>
          <w:szCs w:val="22"/>
        </w:rPr>
        <w:t>IČO:</w:t>
        <w:tab/>
        <w:tab/>
        <w:tab/>
        <w:tab/>
        <w:t>49790960</w:t>
      </w:r>
    </w:p>
    <w:p>
      <w:pPr>
        <w:pStyle w:val="Normal"/>
        <w:jc w:val="both"/>
        <w:rPr>
          <w:rFonts w:ascii="Calibri" w:hAnsi="Calibri" w:cs="Calibri"/>
          <w:sz w:val="22"/>
          <w:szCs w:val="22"/>
        </w:rPr>
      </w:pPr>
      <w:r>
        <w:rPr>
          <w:rFonts w:cs="Calibri" w:ascii="Calibri" w:hAnsi="Calibri"/>
          <w:sz w:val="22"/>
          <w:szCs w:val="22"/>
        </w:rPr>
        <w:t>DIČ:</w:t>
        <w:tab/>
        <w:tab/>
        <w:tab/>
        <w:tab/>
        <w:t>CZ49790960</w:t>
      </w:r>
    </w:p>
    <w:p>
      <w:pPr>
        <w:pStyle w:val="Normal"/>
        <w:jc w:val="both"/>
        <w:rPr/>
      </w:pPr>
      <w:r>
        <w:rPr>
          <w:rFonts w:cs="Calibri" w:ascii="Calibri" w:hAnsi="Calibri"/>
          <w:sz w:val="22"/>
          <w:szCs w:val="22"/>
        </w:rPr>
        <w:t xml:space="preserve">Zastoupena: </w:t>
        <w:tab/>
        <w:tab/>
        <w:tab/>
        <w:t>Marie Hulešová, předseda</w:t>
      </w:r>
      <w:bookmarkStart w:id="0" w:name="_GoBack"/>
      <w:bookmarkEnd w:id="0"/>
      <w:r>
        <w:rPr>
          <w:rFonts w:cs="Calibri" w:ascii="Calibri" w:hAnsi="Calibri"/>
          <w:sz w:val="22"/>
          <w:szCs w:val="22"/>
        </w:rPr>
        <w:t xml:space="preserve"> představenstva</w:t>
        <w:tab/>
        <w:tab/>
        <w:tab/>
        <w:tab/>
      </w:r>
    </w:p>
    <w:p>
      <w:pPr>
        <w:pStyle w:val="Normal"/>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 xml:space="preserve">Bankovní spojení: </w:t>
        <w:tab/>
        <w:tab/>
        <w:t>ČSOB Klatovy, a.s., č. účtu: 72835963/0300</w:t>
      </w:r>
    </w:p>
    <w:p>
      <w:pPr>
        <w:pStyle w:val="Normal"/>
        <w:ind w:left="2829" w:hanging="2829"/>
        <w:jc w:val="both"/>
        <w:rPr>
          <w:rFonts w:ascii="Calibri" w:hAnsi="Calibri"/>
          <w:sz w:val="22"/>
          <w:szCs w:val="22"/>
        </w:rPr>
      </w:pPr>
      <w:r>
        <w:rPr>
          <w:rFonts w:ascii="Calibri" w:hAnsi="Calibri"/>
          <w:sz w:val="22"/>
          <w:szCs w:val="22"/>
        </w:rPr>
        <w:t>Kontaktní adresa:</w:t>
        <w:tab/>
        <w:t>Klatovy II, Jateční 660, PSČ 33901</w:t>
      </w:r>
    </w:p>
    <w:p>
      <w:pPr>
        <w:pStyle w:val="Normal"/>
        <w:ind w:left="3544" w:hanging="3544"/>
        <w:rPr>
          <w:rFonts w:ascii="Calibri" w:hAnsi="Calibri" w:cs="Calibri"/>
          <w:sz w:val="22"/>
          <w:szCs w:val="22"/>
        </w:rPr>
      </w:pPr>
      <w:r>
        <w:rPr>
          <w:rFonts w:cs="Calibri" w:ascii="Calibri" w:hAnsi="Calibri"/>
          <w:sz w:val="22"/>
          <w:szCs w:val="22"/>
        </w:rPr>
        <w:t xml:space="preserve">Kontaktní osoba ve věcech smluvních: </w:t>
        <w:tab/>
        <w:t xml:space="preserve">Milan Sekyrka, ředitel společnosti </w:t>
      </w:r>
    </w:p>
    <w:p>
      <w:pPr>
        <w:pStyle w:val="Normal"/>
        <w:ind w:left="3544" w:hanging="3544"/>
        <w:rPr>
          <w:rFonts w:ascii="Calibri" w:hAnsi="Calibri" w:cs="Calibri"/>
          <w:sz w:val="22"/>
          <w:szCs w:val="22"/>
        </w:rPr>
      </w:pPr>
      <w:r>
        <w:rPr>
          <w:rFonts w:cs="Calibri" w:ascii="Calibri" w:hAnsi="Calibri"/>
          <w:sz w:val="22"/>
          <w:szCs w:val="22"/>
        </w:rPr>
        <w:tab/>
        <w:t>Emil Strádal, vedoucí obchodního úseku</w:t>
      </w:r>
    </w:p>
    <w:p>
      <w:pPr>
        <w:pStyle w:val="Normal"/>
        <w:ind w:left="3544" w:hanging="3544"/>
        <w:rPr>
          <w:rFonts w:ascii="Calibri" w:hAnsi="Calibri" w:cs="Calibri"/>
          <w:sz w:val="22"/>
          <w:szCs w:val="22"/>
        </w:rPr>
      </w:pPr>
      <w:r>
        <w:rPr>
          <w:rFonts w:cs="Calibri" w:ascii="Calibri" w:hAnsi="Calibri"/>
          <w:sz w:val="22"/>
          <w:szCs w:val="22"/>
        </w:rPr>
        <w:tab/>
        <w:t>tel.: +420 378 609 057, fax: +420 376 312 013</w:t>
      </w:r>
    </w:p>
    <w:p>
      <w:pPr>
        <w:pStyle w:val="Normal"/>
        <w:spacing w:lineRule="atLeast" w:line="23"/>
        <w:ind w:left="2835" w:hanging="2835"/>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ab/>
      </w:r>
    </w:p>
    <w:p>
      <w:pPr>
        <w:pStyle w:val="Normal"/>
        <w:spacing w:lineRule="atLeast" w:line="23" w:before="0" w:after="240"/>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 xml:space="preserve"> </w:t>
      </w:r>
      <w:r>
        <w:rPr>
          <w:rFonts w:cs="Calibri" w:ascii="Calibri" w:hAnsi="Calibri" w:asciiTheme="minorHAnsi" w:cstheme="minorHAnsi" w:hAnsiTheme="minorHAnsi"/>
          <w:sz w:val="22"/>
          <w:szCs w:val="22"/>
        </w:rPr>
        <w:t>(dále jen „</w:t>
      </w:r>
      <w:r>
        <w:rPr>
          <w:rFonts w:cs="Calibri" w:ascii="Calibri" w:hAnsi="Calibri" w:asciiTheme="minorHAnsi" w:cstheme="minorHAnsi" w:hAnsiTheme="minorHAnsi"/>
          <w:b/>
          <w:sz w:val="22"/>
          <w:szCs w:val="22"/>
        </w:rPr>
        <w:t>Kupující</w:t>
      </w:r>
      <w:r>
        <w:rPr>
          <w:rFonts w:cs="Calibri" w:ascii="Calibri" w:hAnsi="Calibri" w:asciiTheme="minorHAnsi" w:cstheme="minorHAnsi" w:hAnsiTheme="minorHAnsi"/>
          <w:sz w:val="22"/>
          <w:szCs w:val="22"/>
        </w:rPr>
        <w:t>“)</w:t>
      </w:r>
    </w:p>
    <w:p>
      <w:pPr>
        <w:pStyle w:val="Normal"/>
        <w:spacing w:lineRule="atLeast" w:line="23" w:before="0" w:after="240"/>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(Kupující a Prodávající společně dále též „</w:t>
      </w:r>
      <w:r>
        <w:rPr>
          <w:rFonts w:cs="Calibri" w:ascii="Calibri" w:hAnsi="Calibri" w:asciiTheme="minorHAnsi" w:cstheme="minorHAnsi" w:hAnsiTheme="minorHAnsi"/>
          <w:b/>
          <w:sz w:val="22"/>
          <w:szCs w:val="22"/>
        </w:rPr>
        <w:t>Smluvní strany</w:t>
      </w:r>
      <w:r>
        <w:rPr>
          <w:rFonts w:cs="Calibri" w:ascii="Calibri" w:hAnsi="Calibri" w:asciiTheme="minorHAnsi" w:cstheme="minorHAnsi" w:hAnsiTheme="minorHAnsi"/>
          <w:sz w:val="22"/>
          <w:szCs w:val="22"/>
        </w:rPr>
        <w:t>“, jednotlivě dále též „</w:t>
      </w:r>
      <w:r>
        <w:rPr>
          <w:rFonts w:cs="Calibri" w:ascii="Calibri" w:hAnsi="Calibri" w:asciiTheme="minorHAnsi" w:cstheme="minorHAnsi" w:hAnsiTheme="minorHAnsi"/>
          <w:b/>
          <w:sz w:val="22"/>
          <w:szCs w:val="22"/>
        </w:rPr>
        <w:t>Smluvní strana</w:t>
      </w:r>
      <w:r>
        <w:rPr>
          <w:rFonts w:cs="Calibri" w:ascii="Calibri" w:hAnsi="Calibri" w:asciiTheme="minorHAnsi" w:cstheme="minorHAnsi" w:hAnsiTheme="minorHAnsi"/>
          <w:sz w:val="22"/>
          <w:szCs w:val="22"/>
        </w:rPr>
        <w:t>“)</w:t>
      </w:r>
    </w:p>
    <w:p>
      <w:pPr>
        <w:pStyle w:val="Normal"/>
        <w:spacing w:lineRule="atLeast" w:line="23" w:before="0" w:after="240"/>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adpis6"/>
        <w:spacing w:lineRule="atLeast" w:line="23"/>
        <w:rPr>
          <w:rFonts w:ascii="Calibri" w:hAnsi="Calibri" w:cs="Calibri" w:asciiTheme="minorHAnsi" w:cstheme="minorHAnsi" w:hAnsiTheme="minorHAnsi"/>
          <w:b/>
          <w:b/>
          <w:sz w:val="22"/>
          <w:szCs w:val="22"/>
        </w:rPr>
      </w:pPr>
      <w:r>
        <w:rPr>
          <w:rFonts w:cs="Calibri" w:ascii="Calibri" w:hAnsi="Calibri" w:asciiTheme="minorHAnsi" w:cstheme="minorHAnsi" w:hAnsiTheme="minorHAnsi"/>
          <w:b/>
          <w:sz w:val="22"/>
          <w:szCs w:val="22"/>
        </w:rPr>
        <w:t>I.</w:t>
      </w:r>
    </w:p>
    <w:p>
      <w:pPr>
        <w:pStyle w:val="Nadpis6"/>
        <w:spacing w:lineRule="atLeast" w:line="23" w:before="0" w:after="240"/>
        <w:rPr>
          <w:rFonts w:ascii="Calibri" w:hAnsi="Calibri" w:cs="Calibri" w:asciiTheme="minorHAnsi" w:cstheme="minorHAnsi" w:hAnsiTheme="minorHAnsi"/>
          <w:b/>
          <w:b/>
          <w:sz w:val="22"/>
          <w:szCs w:val="22"/>
        </w:rPr>
      </w:pPr>
      <w:r>
        <w:rPr>
          <w:rFonts w:cs="Calibri" w:ascii="Calibri" w:hAnsi="Calibri" w:asciiTheme="minorHAnsi" w:cstheme="minorHAnsi" w:hAnsiTheme="minorHAnsi"/>
          <w:b/>
          <w:sz w:val="22"/>
          <w:szCs w:val="22"/>
        </w:rPr>
        <w:t>Účel Dodatku</w:t>
      </w:r>
    </w:p>
    <w:p>
      <w:pPr>
        <w:pStyle w:val="Normal"/>
        <w:spacing w:lineRule="atLeast" w:line="23" w:before="0" w:after="240"/>
        <w:ind w:left="567" w:hanging="567"/>
        <w:jc w:val="both"/>
        <w:rPr>
          <w:rFonts w:ascii="Calibri" w:hAnsi="Calibri" w:cs="Calibri"/>
          <w:sz w:val="22"/>
          <w:szCs w:val="22"/>
        </w:rPr>
      </w:pPr>
      <w:r>
        <w:rPr>
          <w:rFonts w:cs="Calibri" w:ascii="Calibri" w:hAnsi="Calibri"/>
          <w:sz w:val="22"/>
          <w:szCs w:val="22"/>
        </w:rPr>
        <w:t>I.1.</w:t>
        <w:tab/>
        <w:t xml:space="preserve">Smluvní strany uzavřely dne 27. 11. 2015 kupní smlouvu na prodej a koupi hnědého uhlí na rok </w:t>
        <w:br/>
        <w:t>2016-2018/2020, číslo smlouvy Prodávajícího 2016/OOB/PU/06828 (dále jen „</w:t>
      </w:r>
      <w:r>
        <w:rPr>
          <w:rFonts w:cs="Calibri" w:ascii="Calibri" w:hAnsi="Calibri"/>
          <w:b/>
          <w:sz w:val="22"/>
          <w:szCs w:val="22"/>
        </w:rPr>
        <w:t>Smlouva</w:t>
      </w:r>
      <w:r>
        <w:rPr>
          <w:rFonts w:cs="Calibri" w:ascii="Calibri" w:hAnsi="Calibri"/>
          <w:sz w:val="22"/>
          <w:szCs w:val="22"/>
        </w:rPr>
        <w:t>“).</w:t>
      </w:r>
    </w:p>
    <w:p>
      <w:pPr>
        <w:pStyle w:val="Normal"/>
        <w:spacing w:lineRule="atLeast" w:line="23" w:before="0" w:after="240"/>
        <w:ind w:left="567" w:hanging="567"/>
        <w:jc w:val="both"/>
        <w:rPr>
          <w:rFonts w:ascii="Calibri" w:hAnsi="Calibri" w:cs="Calibri"/>
          <w:sz w:val="22"/>
          <w:szCs w:val="22"/>
        </w:rPr>
      </w:pPr>
      <w:r>
        <w:rPr>
          <w:rFonts w:cs="Calibri" w:ascii="Calibri" w:hAnsi="Calibri"/>
          <w:sz w:val="22"/>
          <w:szCs w:val="22"/>
        </w:rPr>
        <w:t>I.2.</w:t>
        <w:tab/>
        <w:t>Smluvní strany se, v souladu s odst. X.7. Smlouvy, dohodly na změně Smlouvy dle čl. II. tohoto Dodatku.</w:t>
      </w:r>
    </w:p>
    <w:p>
      <w:pPr>
        <w:pStyle w:val="Normal"/>
        <w:spacing w:lineRule="atLeast" w:line="23"/>
        <w:ind w:left="567" w:hanging="567"/>
        <w:jc w:val="center"/>
        <w:rPr>
          <w:rFonts w:ascii="Calibri" w:hAnsi="Calibri" w:cs="Calibri"/>
          <w:b/>
          <w:b/>
          <w:sz w:val="22"/>
          <w:szCs w:val="22"/>
        </w:rPr>
      </w:pPr>
      <w:r>
        <w:rPr>
          <w:rFonts w:cs="Calibri" w:ascii="Calibri" w:hAnsi="Calibri"/>
          <w:b/>
          <w:sz w:val="22"/>
          <w:szCs w:val="22"/>
        </w:rPr>
        <w:t>II.</w:t>
      </w:r>
    </w:p>
    <w:p>
      <w:pPr>
        <w:pStyle w:val="Normal"/>
        <w:spacing w:lineRule="atLeast" w:line="23" w:before="0" w:after="240"/>
        <w:ind w:left="567" w:hanging="567"/>
        <w:jc w:val="center"/>
        <w:rPr>
          <w:rFonts w:ascii="Calibri" w:hAnsi="Calibri" w:cs="Calibri"/>
          <w:b/>
          <w:b/>
          <w:sz w:val="22"/>
          <w:szCs w:val="22"/>
        </w:rPr>
      </w:pPr>
      <w:r>
        <w:rPr>
          <w:rFonts w:cs="Calibri" w:ascii="Calibri" w:hAnsi="Calibri"/>
          <w:b/>
          <w:sz w:val="22"/>
          <w:szCs w:val="22"/>
        </w:rPr>
        <w:t xml:space="preserve">Předmět Dodatku </w:t>
      </w:r>
    </w:p>
    <w:p>
      <w:pPr>
        <w:pStyle w:val="Normal"/>
        <w:spacing w:lineRule="atLeast" w:line="23" w:before="240" w:after="240"/>
        <w:ind w:left="567" w:hanging="567"/>
        <w:jc w:val="both"/>
        <w:rPr>
          <w:rFonts w:ascii="Calibri" w:hAnsi="Calibri" w:cs="Calibri"/>
          <w:sz w:val="22"/>
          <w:szCs w:val="22"/>
        </w:rPr>
      </w:pPr>
      <w:r>
        <w:rPr>
          <w:rFonts w:cs="Calibri" w:ascii="Calibri" w:hAnsi="Calibri"/>
          <w:sz w:val="22"/>
          <w:szCs w:val="22"/>
        </w:rPr>
        <w:t>II.1.</w:t>
        <w:tab/>
        <w:t>Odst. II.5. Smlouvy se mění a nově zní:</w:t>
      </w:r>
    </w:p>
    <w:p>
      <w:pPr>
        <w:pStyle w:val="Normal"/>
        <w:spacing w:lineRule="atLeast" w:line="23" w:before="240" w:after="240"/>
        <w:ind w:left="1134" w:hanging="567"/>
        <w:jc w:val="both"/>
        <w:rPr>
          <w:rFonts w:ascii="Calibri" w:hAnsi="Calibri" w:cs="Calibri"/>
          <w:i/>
          <w:i/>
          <w:sz w:val="22"/>
          <w:szCs w:val="22"/>
        </w:rPr>
      </w:pPr>
      <w:r>
        <w:rPr>
          <w:rFonts w:cs="Calibri" w:ascii="Calibri" w:hAnsi="Calibri"/>
          <w:i/>
          <w:sz w:val="22"/>
          <w:szCs w:val="22"/>
        </w:rPr>
        <w:t xml:space="preserve">II.5. </w:t>
        <w:tab/>
        <w:t>Smluvní strany se dohodly na rozdělení množství prodávaného Uhlí dle druhu, jednotlivých kalendářních čtvrtletí roku 2017 a přepravních prostředků (v tunách):</w:t>
      </w:r>
    </w:p>
    <w:tbl>
      <w:tblPr>
        <w:tblW w:w="9953" w:type="dxa"/>
        <w:jc w:val="left"/>
        <w:tblInd w:w="-14" w:type="dxa"/>
        <w:tblBorders>
          <w:top w:val="single" w:sz="12" w:space="0" w:color="00000A"/>
          <w:left w:val="single" w:sz="12" w:space="0" w:color="00000A"/>
          <w:right w:val="single" w:sz="2" w:space="0" w:color="00000A"/>
          <w:insideV w:val="single" w:sz="2" w:space="0" w:color="00000A"/>
        </w:tblBorders>
        <w:tblCellMar>
          <w:top w:w="0" w:type="dxa"/>
          <w:left w:w="0" w:type="dxa"/>
          <w:bottom w:w="0" w:type="dxa"/>
          <w:right w:w="30" w:type="dxa"/>
        </w:tblCellMar>
        <w:tblLook w:firstRow="0" w:noVBand="0" w:lastRow="0" w:firstColumn="0" w:lastColumn="0" w:noHBand="0" w:val="0000"/>
      </w:tblPr>
      <w:tblGrid>
        <w:gridCol w:w="776"/>
        <w:gridCol w:w="851"/>
        <w:gridCol w:w="955"/>
        <w:gridCol w:w="850"/>
        <w:gridCol w:w="995"/>
        <w:gridCol w:w="850"/>
        <w:gridCol w:w="992"/>
        <w:gridCol w:w="851"/>
        <w:gridCol w:w="992"/>
        <w:gridCol w:w="851"/>
        <w:gridCol w:w="988"/>
      </w:tblGrid>
      <w:tr>
        <w:trPr>
          <w:trHeight w:val="230" w:hRule="atLeast"/>
          <w:cantSplit w:val="true"/>
        </w:trPr>
        <w:tc>
          <w:tcPr>
            <w:tcW w:w="776" w:type="dxa"/>
            <w:vMerge w:val="restart"/>
            <w:tcBorders>
              <w:top w:val="single" w:sz="12" w:space="0" w:color="00000A"/>
              <w:left w:val="single" w:sz="12" w:space="0" w:color="00000A"/>
              <w:right w:val="single" w:sz="2" w:space="0" w:color="00000A"/>
              <w:insideV w:val="single" w:sz="2" w:space="0" w:color="00000A"/>
            </w:tcBorders>
            <w:shd w:fill="auto" w:val="clear"/>
            <w:tcMar>
              <w:left w:w="0" w:type="dxa"/>
            </w:tcMar>
            <w:vAlign w:val="center"/>
          </w:tcPr>
          <w:p>
            <w:pPr>
              <w:pStyle w:val="Normal"/>
              <w:jc w:val="center"/>
              <w:rPr>
                <w:rFonts w:ascii="Calibri" w:hAnsi="Calibri" w:cs="Calibri" w:asciiTheme="minorHAnsi" w:hAnsiTheme="minorHAnsi"/>
                <w:i/>
                <w:i/>
                <w:color w:val="000000"/>
                <w:sz w:val="22"/>
                <w:szCs w:val="22"/>
              </w:rPr>
            </w:pPr>
            <w:r>
              <w:rPr>
                <w:rFonts w:cs="Calibri" w:ascii="Calibri" w:hAnsi="Calibri" w:asciiTheme="minorHAnsi" w:hAnsiTheme="minorHAnsi"/>
                <w:i/>
                <w:color w:val="000000"/>
                <w:sz w:val="22"/>
                <w:szCs w:val="22"/>
              </w:rPr>
              <w:t>Druh Uhlí</w:t>
            </w:r>
          </w:p>
        </w:tc>
        <w:tc>
          <w:tcPr>
            <w:tcW w:w="1806" w:type="dxa"/>
            <w:gridSpan w:val="2"/>
            <w:tcBorders>
              <w:top w:val="single" w:sz="12" w:space="0" w:color="00000A"/>
              <w:left w:val="single" w:sz="2" w:space="0" w:color="00000A"/>
              <w:bottom w:val="single" w:sz="2" w:space="0" w:color="00000A"/>
              <w:right w:val="single" w:sz="6" w:space="0" w:color="00000A"/>
              <w:insideH w:val="single" w:sz="2" w:space="0" w:color="00000A"/>
              <w:insideV w:val="single" w:sz="6" w:space="0" w:color="00000A"/>
            </w:tcBorders>
            <w:shd w:fill="auto" w:val="clear"/>
            <w:tcMar>
              <w:left w:w="24" w:type="dxa"/>
            </w:tcMar>
          </w:tcPr>
          <w:p>
            <w:pPr>
              <w:pStyle w:val="Normal"/>
              <w:jc w:val="center"/>
              <w:rPr>
                <w:rFonts w:ascii="Calibri" w:hAnsi="Calibri" w:cs="Calibri" w:asciiTheme="minorHAnsi" w:hAnsiTheme="minorHAnsi"/>
                <w:i/>
                <w:i/>
                <w:color w:val="000000"/>
                <w:sz w:val="22"/>
                <w:szCs w:val="22"/>
              </w:rPr>
            </w:pPr>
            <w:r>
              <w:rPr>
                <w:rFonts w:cs="Calibri" w:ascii="Calibri" w:hAnsi="Calibri" w:asciiTheme="minorHAnsi" w:hAnsiTheme="minorHAnsi"/>
                <w:i/>
                <w:color w:val="000000"/>
                <w:sz w:val="22"/>
                <w:szCs w:val="22"/>
              </w:rPr>
              <w:t>I.</w:t>
            </w:r>
          </w:p>
        </w:tc>
        <w:tc>
          <w:tcPr>
            <w:tcW w:w="1845" w:type="dxa"/>
            <w:gridSpan w:val="2"/>
            <w:tcBorders>
              <w:top w:val="single" w:sz="12" w:space="0" w:color="00000A"/>
              <w:left w:val="single" w:sz="2" w:space="0" w:color="00000A"/>
              <w:bottom w:val="single" w:sz="2" w:space="0" w:color="00000A"/>
              <w:right w:val="single" w:sz="2" w:space="0" w:color="00000A"/>
              <w:insideH w:val="single" w:sz="2" w:space="0" w:color="00000A"/>
              <w:insideV w:val="single" w:sz="2" w:space="0" w:color="00000A"/>
            </w:tcBorders>
            <w:shd w:fill="auto" w:val="clear"/>
            <w:tcMar>
              <w:left w:w="26" w:type="dxa"/>
            </w:tcMar>
          </w:tcPr>
          <w:p>
            <w:pPr>
              <w:pStyle w:val="Normal"/>
              <w:jc w:val="center"/>
              <w:rPr>
                <w:rFonts w:ascii="Calibri" w:hAnsi="Calibri" w:cs="Calibri" w:asciiTheme="minorHAnsi" w:hAnsiTheme="minorHAnsi"/>
                <w:i/>
                <w:i/>
                <w:color w:val="000000"/>
                <w:sz w:val="22"/>
                <w:szCs w:val="22"/>
              </w:rPr>
            </w:pPr>
            <w:r>
              <w:rPr>
                <w:rFonts w:cs="Calibri" w:ascii="Calibri" w:hAnsi="Calibri" w:asciiTheme="minorHAnsi" w:hAnsiTheme="minorHAnsi"/>
                <w:i/>
                <w:color w:val="000000"/>
                <w:sz w:val="22"/>
                <w:szCs w:val="22"/>
              </w:rPr>
              <w:t>II.</w:t>
            </w:r>
          </w:p>
        </w:tc>
        <w:tc>
          <w:tcPr>
            <w:tcW w:w="1842" w:type="dxa"/>
            <w:gridSpan w:val="2"/>
            <w:tcBorders>
              <w:top w:val="single" w:sz="12" w:space="0" w:color="00000A"/>
              <w:left w:val="single" w:sz="6" w:space="0" w:color="00000A"/>
              <w:bottom w:val="single" w:sz="2" w:space="0" w:color="00000A"/>
              <w:right w:val="single" w:sz="6" w:space="0" w:color="00000A"/>
              <w:insideH w:val="single" w:sz="2" w:space="0" w:color="00000A"/>
              <w:insideV w:val="single" w:sz="6" w:space="0" w:color="00000A"/>
            </w:tcBorders>
            <w:shd w:fill="auto" w:val="clear"/>
            <w:tcMar>
              <w:left w:w="14" w:type="dxa"/>
            </w:tcMar>
          </w:tcPr>
          <w:p>
            <w:pPr>
              <w:pStyle w:val="Normal"/>
              <w:jc w:val="center"/>
              <w:rPr>
                <w:rFonts w:ascii="Calibri" w:hAnsi="Calibri" w:cs="Calibri" w:asciiTheme="minorHAnsi" w:hAnsiTheme="minorHAnsi"/>
                <w:i/>
                <w:i/>
                <w:color w:val="000000"/>
                <w:sz w:val="22"/>
                <w:szCs w:val="22"/>
              </w:rPr>
            </w:pPr>
            <w:r>
              <w:rPr>
                <w:rFonts w:cs="Calibri" w:ascii="Calibri" w:hAnsi="Calibri" w:asciiTheme="minorHAnsi" w:hAnsiTheme="minorHAnsi"/>
                <w:i/>
                <w:color w:val="000000"/>
                <w:sz w:val="22"/>
                <w:szCs w:val="22"/>
              </w:rPr>
              <w:t>III.</w:t>
            </w:r>
          </w:p>
        </w:tc>
        <w:tc>
          <w:tcPr>
            <w:tcW w:w="1843" w:type="dxa"/>
            <w:gridSpan w:val="2"/>
            <w:tcBorders>
              <w:top w:val="single" w:sz="12" w:space="0" w:color="00000A"/>
              <w:left w:val="single" w:sz="6" w:space="0" w:color="00000A"/>
              <w:bottom w:val="single" w:sz="2" w:space="0" w:color="00000A"/>
              <w:right w:val="single" w:sz="6" w:space="0" w:color="00000A"/>
              <w:insideH w:val="single" w:sz="2" w:space="0" w:color="00000A"/>
              <w:insideV w:val="single" w:sz="6" w:space="0" w:color="00000A"/>
            </w:tcBorders>
            <w:shd w:fill="auto" w:val="clear"/>
            <w:tcMar>
              <w:left w:w="21" w:type="dxa"/>
            </w:tcMar>
          </w:tcPr>
          <w:p>
            <w:pPr>
              <w:pStyle w:val="Normal"/>
              <w:jc w:val="center"/>
              <w:rPr>
                <w:rFonts w:ascii="Calibri" w:hAnsi="Calibri" w:cs="Calibri" w:asciiTheme="minorHAnsi" w:hAnsiTheme="minorHAnsi"/>
                <w:i/>
                <w:i/>
                <w:color w:val="000000"/>
                <w:sz w:val="22"/>
                <w:szCs w:val="22"/>
              </w:rPr>
            </w:pPr>
            <w:r>
              <w:rPr>
                <w:rFonts w:cs="Calibri" w:ascii="Calibri" w:hAnsi="Calibri" w:asciiTheme="minorHAnsi" w:hAnsiTheme="minorHAnsi"/>
                <w:i/>
                <w:color w:val="000000"/>
                <w:sz w:val="22"/>
                <w:szCs w:val="22"/>
              </w:rPr>
              <w:t>IV.</w:t>
            </w:r>
          </w:p>
        </w:tc>
        <w:tc>
          <w:tcPr>
            <w:tcW w:w="1839" w:type="dxa"/>
            <w:gridSpan w:val="2"/>
            <w:tcBorders>
              <w:top w:val="single" w:sz="12" w:space="0" w:color="00000A"/>
              <w:left w:val="single" w:sz="6" w:space="0" w:color="00000A"/>
              <w:bottom w:val="single" w:sz="2" w:space="0" w:color="00000A"/>
              <w:right w:val="single" w:sz="6" w:space="0" w:color="00000A"/>
              <w:insideH w:val="single" w:sz="2" w:space="0" w:color="00000A"/>
              <w:insideV w:val="single" w:sz="6" w:space="0" w:color="00000A"/>
            </w:tcBorders>
            <w:shd w:fill="auto" w:val="clear"/>
            <w:tcMar>
              <w:left w:w="21" w:type="dxa"/>
            </w:tcMar>
          </w:tcPr>
          <w:p>
            <w:pPr>
              <w:pStyle w:val="Normal"/>
              <w:jc w:val="center"/>
              <w:rPr>
                <w:rFonts w:ascii="Calibri" w:hAnsi="Calibri" w:cs="Calibri" w:asciiTheme="minorHAnsi" w:hAnsiTheme="minorHAnsi"/>
                <w:i/>
                <w:i/>
                <w:color w:val="000000"/>
                <w:sz w:val="22"/>
                <w:szCs w:val="22"/>
              </w:rPr>
            </w:pPr>
            <w:r>
              <w:rPr>
                <w:rFonts w:cs="Calibri" w:ascii="Calibri" w:hAnsi="Calibri" w:asciiTheme="minorHAnsi" w:hAnsiTheme="minorHAnsi"/>
                <w:i/>
                <w:color w:val="000000"/>
                <w:sz w:val="22"/>
                <w:szCs w:val="22"/>
              </w:rPr>
              <w:t>Rok 2017</w:t>
            </w:r>
          </w:p>
        </w:tc>
      </w:tr>
      <w:tr>
        <w:trPr>
          <w:trHeight w:val="230" w:hRule="atLeast"/>
          <w:cantSplit w:val="true"/>
        </w:trPr>
        <w:tc>
          <w:tcPr>
            <w:tcW w:w="776" w:type="dxa"/>
            <w:vMerge w:val="continue"/>
            <w:tcBorders>
              <w:left w:val="single" w:sz="12" w:space="0" w:color="00000A"/>
              <w:right w:val="single" w:sz="2" w:space="0" w:color="00000A"/>
              <w:insideV w:val="single" w:sz="2" w:space="0" w:color="00000A"/>
            </w:tcBorders>
            <w:shd w:fill="auto" w:val="clear"/>
            <w:tcMar>
              <w:left w:w="0" w:type="dxa"/>
            </w:tcMar>
          </w:tcPr>
          <w:p>
            <w:pPr>
              <w:pStyle w:val="Normal"/>
              <w:jc w:val="center"/>
              <w:rPr>
                <w:rFonts w:ascii="Calibri" w:hAnsi="Calibri" w:cs="Calibri" w:asciiTheme="minorHAnsi" w:hAnsiTheme="minorHAnsi"/>
                <w:i/>
                <w:i/>
                <w:color w:val="000000"/>
                <w:sz w:val="22"/>
                <w:szCs w:val="22"/>
              </w:rPr>
            </w:pPr>
            <w:r>
              <w:rPr>
                <w:rFonts w:cs="Calibri" w:ascii="Calibri" w:hAnsi="Calibri"/>
                <w:i/>
                <w:color w:val="000000"/>
                <w:sz w:val="22"/>
                <w:szCs w:val="22"/>
              </w:rPr>
            </w:r>
          </w:p>
        </w:tc>
        <w:tc>
          <w:tcPr>
            <w:tcW w:w="851" w:type="dxa"/>
            <w:vMerge w:val="restart"/>
            <w:tcBorders>
              <w:top w:val="single" w:sz="2" w:space="0" w:color="00000A"/>
              <w:left w:val="single" w:sz="2" w:space="0" w:color="00000A"/>
              <w:right w:val="single" w:sz="2" w:space="0" w:color="00000A"/>
              <w:insideV w:val="single" w:sz="2" w:space="0" w:color="00000A"/>
            </w:tcBorders>
            <w:shd w:fill="auto" w:val="clear"/>
            <w:tcMar>
              <w:left w:w="24" w:type="dxa"/>
            </w:tcMar>
            <w:vAlign w:val="center"/>
          </w:tcPr>
          <w:p>
            <w:pPr>
              <w:pStyle w:val="Normal"/>
              <w:jc w:val="center"/>
              <w:rPr>
                <w:rFonts w:ascii="Calibri" w:hAnsi="Calibri" w:cs="Calibri" w:asciiTheme="minorHAnsi" w:hAnsiTheme="minorHAnsi"/>
                <w:i/>
                <w:i/>
                <w:color w:val="000000"/>
                <w:sz w:val="22"/>
                <w:szCs w:val="22"/>
              </w:rPr>
            </w:pPr>
            <w:r>
              <w:rPr>
                <w:rFonts w:cs="Calibri" w:ascii="Calibri" w:hAnsi="Calibri" w:asciiTheme="minorHAnsi" w:hAnsiTheme="minorHAnsi"/>
                <w:i/>
                <w:color w:val="000000"/>
                <w:sz w:val="22"/>
                <w:szCs w:val="22"/>
              </w:rPr>
              <w:t>Celkem</w:t>
            </w:r>
          </w:p>
        </w:tc>
        <w:tc>
          <w:tcPr>
            <w:tcW w:w="955" w:type="dxa"/>
            <w:tcBorders>
              <w:top w:val="single" w:sz="2" w:space="0" w:color="00000A"/>
              <w:left w:val="single" w:sz="2" w:space="0" w:color="00000A"/>
              <w:bottom w:val="single" w:sz="2" w:space="0" w:color="00000A"/>
              <w:right w:val="single" w:sz="6" w:space="0" w:color="00000A"/>
              <w:insideH w:val="single" w:sz="2" w:space="0" w:color="00000A"/>
              <w:insideV w:val="single" w:sz="6" w:space="0" w:color="00000A"/>
            </w:tcBorders>
            <w:shd w:fill="auto" w:val="clear"/>
            <w:tcMar>
              <w:left w:w="24" w:type="dxa"/>
            </w:tcMar>
          </w:tcPr>
          <w:p>
            <w:pPr>
              <w:pStyle w:val="Normal"/>
              <w:jc w:val="center"/>
              <w:rPr>
                <w:rFonts w:ascii="Calibri" w:hAnsi="Calibri" w:cs="Calibri" w:asciiTheme="minorHAnsi" w:hAnsiTheme="minorHAnsi"/>
                <w:i/>
                <w:i/>
                <w:color w:val="000000"/>
                <w:sz w:val="22"/>
                <w:szCs w:val="22"/>
              </w:rPr>
            </w:pPr>
            <w:r>
              <w:rPr>
                <w:rFonts w:cs="Calibri" w:ascii="Calibri" w:hAnsi="Calibri" w:asciiTheme="minorHAnsi" w:hAnsiTheme="minorHAnsi"/>
                <w:i/>
                <w:color w:val="000000"/>
                <w:sz w:val="22"/>
                <w:szCs w:val="22"/>
              </w:rPr>
              <w:t>přeprava po železnici</w:t>
            </w:r>
          </w:p>
        </w:tc>
        <w:tc>
          <w:tcPr>
            <w:tcW w:w="850" w:type="dxa"/>
            <w:vMerge w:val="restart"/>
            <w:tcBorders>
              <w:top w:val="single" w:sz="2" w:space="0" w:color="00000A"/>
              <w:left w:val="single" w:sz="2" w:space="0" w:color="00000A"/>
              <w:right w:val="single" w:sz="2" w:space="0" w:color="00000A"/>
              <w:insideV w:val="single" w:sz="2" w:space="0" w:color="00000A"/>
            </w:tcBorders>
            <w:shd w:fill="auto" w:val="clear"/>
            <w:tcMar>
              <w:left w:w="26" w:type="dxa"/>
            </w:tcMar>
            <w:vAlign w:val="center"/>
          </w:tcPr>
          <w:p>
            <w:pPr>
              <w:pStyle w:val="Normal"/>
              <w:jc w:val="center"/>
              <w:rPr>
                <w:rFonts w:ascii="Calibri" w:hAnsi="Calibri" w:cs="Calibri" w:asciiTheme="minorHAnsi" w:hAnsiTheme="minorHAnsi"/>
                <w:i/>
                <w:i/>
                <w:color w:val="000000"/>
                <w:sz w:val="22"/>
                <w:szCs w:val="22"/>
              </w:rPr>
            </w:pPr>
            <w:r>
              <w:rPr>
                <w:rFonts w:cs="Calibri" w:ascii="Calibri" w:hAnsi="Calibri" w:asciiTheme="minorHAnsi" w:hAnsiTheme="minorHAnsi"/>
                <w:i/>
                <w:color w:val="000000"/>
                <w:sz w:val="22"/>
                <w:szCs w:val="22"/>
              </w:rPr>
              <w:t>Celkem</w:t>
            </w:r>
          </w:p>
        </w:tc>
        <w:tc>
          <w:tcPr>
            <w:tcW w:w="995" w:type="dxa"/>
            <w:tcBorders>
              <w:top w:val="single" w:sz="2" w:space="0" w:color="00000A"/>
              <w:left w:val="single" w:sz="2" w:space="0" w:color="00000A"/>
              <w:bottom w:val="single" w:sz="2" w:space="0" w:color="00000A"/>
              <w:right w:val="single" w:sz="2" w:space="0" w:color="00000A"/>
              <w:insideH w:val="single" w:sz="2" w:space="0" w:color="00000A"/>
              <w:insideV w:val="single" w:sz="2" w:space="0" w:color="00000A"/>
            </w:tcBorders>
            <w:shd w:fill="auto" w:val="clear"/>
            <w:tcMar>
              <w:left w:w="24" w:type="dxa"/>
            </w:tcMar>
          </w:tcPr>
          <w:p>
            <w:pPr>
              <w:pStyle w:val="Normal"/>
              <w:jc w:val="center"/>
              <w:rPr>
                <w:rFonts w:ascii="Calibri" w:hAnsi="Calibri" w:cs="Calibri" w:asciiTheme="minorHAnsi" w:hAnsiTheme="minorHAnsi"/>
                <w:i/>
                <w:i/>
                <w:color w:val="000000"/>
                <w:sz w:val="22"/>
                <w:szCs w:val="22"/>
              </w:rPr>
            </w:pPr>
            <w:r>
              <w:rPr>
                <w:rFonts w:cs="Calibri" w:ascii="Calibri" w:hAnsi="Calibri" w:asciiTheme="minorHAnsi" w:hAnsiTheme="minorHAnsi"/>
                <w:i/>
                <w:color w:val="000000"/>
                <w:sz w:val="22"/>
                <w:szCs w:val="22"/>
              </w:rPr>
              <w:t>přeprava po železnici</w:t>
            </w:r>
          </w:p>
        </w:tc>
        <w:tc>
          <w:tcPr>
            <w:tcW w:w="850" w:type="dxa"/>
            <w:vMerge w:val="restart"/>
            <w:tcBorders>
              <w:top w:val="single" w:sz="2" w:space="0" w:color="00000A"/>
              <w:left w:val="single" w:sz="6" w:space="0" w:color="00000A"/>
              <w:right w:val="single" w:sz="2" w:space="0" w:color="00000A"/>
              <w:insideV w:val="single" w:sz="2" w:space="0" w:color="00000A"/>
            </w:tcBorders>
            <w:shd w:fill="auto" w:val="clear"/>
            <w:tcMar>
              <w:left w:w="14" w:type="dxa"/>
            </w:tcMar>
            <w:vAlign w:val="center"/>
          </w:tcPr>
          <w:p>
            <w:pPr>
              <w:pStyle w:val="Normal"/>
              <w:jc w:val="center"/>
              <w:rPr>
                <w:rFonts w:ascii="Calibri" w:hAnsi="Calibri" w:cs="Calibri" w:asciiTheme="minorHAnsi" w:hAnsiTheme="minorHAnsi"/>
                <w:i/>
                <w:i/>
                <w:color w:val="000000"/>
                <w:sz w:val="22"/>
                <w:szCs w:val="22"/>
              </w:rPr>
            </w:pPr>
            <w:r>
              <w:rPr>
                <w:rFonts w:cs="Calibri" w:ascii="Calibri" w:hAnsi="Calibri" w:asciiTheme="minorHAnsi" w:hAnsiTheme="minorHAnsi"/>
                <w:i/>
                <w:color w:val="000000"/>
                <w:sz w:val="22"/>
                <w:szCs w:val="22"/>
              </w:rPr>
              <w:t>Celkem</w:t>
            </w:r>
          </w:p>
        </w:tc>
        <w:tc>
          <w:tcPr>
            <w:tcW w:w="992" w:type="dxa"/>
            <w:tcBorders>
              <w:top w:val="single" w:sz="2" w:space="0" w:color="00000A"/>
              <w:left w:val="single" w:sz="2" w:space="0" w:color="00000A"/>
              <w:bottom w:val="single" w:sz="2" w:space="0" w:color="00000A"/>
              <w:right w:val="single" w:sz="6" w:space="0" w:color="00000A"/>
              <w:insideH w:val="single" w:sz="2" w:space="0" w:color="00000A"/>
              <w:insideV w:val="single" w:sz="6" w:space="0" w:color="00000A"/>
            </w:tcBorders>
            <w:shd w:fill="auto" w:val="clear"/>
            <w:tcMar>
              <w:left w:w="24" w:type="dxa"/>
            </w:tcMar>
          </w:tcPr>
          <w:p>
            <w:pPr>
              <w:pStyle w:val="Normal"/>
              <w:jc w:val="center"/>
              <w:rPr>
                <w:rFonts w:ascii="Calibri" w:hAnsi="Calibri" w:cs="Calibri" w:asciiTheme="minorHAnsi" w:hAnsiTheme="minorHAnsi"/>
                <w:i/>
                <w:i/>
                <w:color w:val="000000"/>
                <w:sz w:val="22"/>
                <w:szCs w:val="22"/>
              </w:rPr>
            </w:pPr>
            <w:r>
              <w:rPr>
                <w:rFonts w:cs="Calibri" w:ascii="Calibri" w:hAnsi="Calibri" w:asciiTheme="minorHAnsi" w:hAnsiTheme="minorHAnsi"/>
                <w:i/>
                <w:color w:val="000000"/>
                <w:sz w:val="22"/>
                <w:szCs w:val="22"/>
              </w:rPr>
              <w:t>přeprava po železnici</w:t>
            </w:r>
          </w:p>
        </w:tc>
        <w:tc>
          <w:tcPr>
            <w:tcW w:w="851" w:type="dxa"/>
            <w:vMerge w:val="restart"/>
            <w:tcBorders>
              <w:top w:val="single" w:sz="2" w:space="0" w:color="00000A"/>
              <w:left w:val="single" w:sz="2" w:space="0" w:color="00000A"/>
              <w:right w:val="single" w:sz="2" w:space="0" w:color="00000A"/>
              <w:insideV w:val="single" w:sz="2" w:space="0" w:color="00000A"/>
            </w:tcBorders>
            <w:shd w:fill="auto" w:val="clear"/>
            <w:tcMar>
              <w:left w:w="26" w:type="dxa"/>
            </w:tcMar>
            <w:vAlign w:val="center"/>
          </w:tcPr>
          <w:p>
            <w:pPr>
              <w:pStyle w:val="Normal"/>
              <w:jc w:val="center"/>
              <w:rPr>
                <w:rFonts w:ascii="Calibri" w:hAnsi="Calibri" w:cs="Calibri" w:asciiTheme="minorHAnsi" w:hAnsiTheme="minorHAnsi"/>
                <w:i/>
                <w:i/>
                <w:color w:val="000000"/>
                <w:sz w:val="22"/>
                <w:szCs w:val="22"/>
              </w:rPr>
            </w:pPr>
            <w:r>
              <w:rPr>
                <w:rFonts w:cs="Calibri" w:ascii="Calibri" w:hAnsi="Calibri" w:asciiTheme="minorHAnsi" w:hAnsiTheme="minorHAnsi"/>
                <w:i/>
                <w:color w:val="000000"/>
                <w:sz w:val="22"/>
                <w:szCs w:val="22"/>
              </w:rPr>
              <w:t>Celkem</w:t>
            </w:r>
          </w:p>
        </w:tc>
        <w:tc>
          <w:tcPr>
            <w:tcW w:w="992" w:type="dxa"/>
            <w:tcBorders>
              <w:top w:val="single" w:sz="2" w:space="0" w:color="00000A"/>
              <w:left w:val="single" w:sz="2" w:space="0" w:color="00000A"/>
              <w:bottom w:val="single" w:sz="2" w:space="0" w:color="00000A"/>
              <w:right w:val="single" w:sz="6" w:space="0" w:color="00000A"/>
              <w:insideH w:val="single" w:sz="2" w:space="0" w:color="00000A"/>
              <w:insideV w:val="single" w:sz="6" w:space="0" w:color="00000A"/>
            </w:tcBorders>
            <w:shd w:fill="auto" w:val="clear"/>
            <w:tcMar>
              <w:left w:w="24" w:type="dxa"/>
            </w:tcMar>
          </w:tcPr>
          <w:p>
            <w:pPr>
              <w:pStyle w:val="Normal"/>
              <w:jc w:val="center"/>
              <w:rPr>
                <w:rFonts w:ascii="Calibri" w:hAnsi="Calibri" w:cs="Calibri" w:asciiTheme="minorHAnsi" w:hAnsiTheme="minorHAnsi"/>
                <w:i/>
                <w:i/>
                <w:color w:val="000000"/>
                <w:sz w:val="22"/>
                <w:szCs w:val="22"/>
              </w:rPr>
            </w:pPr>
            <w:r>
              <w:rPr>
                <w:rFonts w:cs="Calibri" w:ascii="Calibri" w:hAnsi="Calibri" w:asciiTheme="minorHAnsi" w:hAnsiTheme="minorHAnsi"/>
                <w:i/>
                <w:color w:val="000000"/>
                <w:sz w:val="22"/>
                <w:szCs w:val="22"/>
              </w:rPr>
              <w:t>přeprava po železnici</w:t>
            </w:r>
          </w:p>
        </w:tc>
        <w:tc>
          <w:tcPr>
            <w:tcW w:w="851" w:type="dxa"/>
            <w:vMerge w:val="restart"/>
            <w:tcBorders>
              <w:top w:val="single" w:sz="2" w:space="0" w:color="00000A"/>
              <w:left w:val="single" w:sz="2" w:space="0" w:color="00000A"/>
              <w:right w:val="single" w:sz="6" w:space="0" w:color="00000A"/>
              <w:insideV w:val="single" w:sz="6" w:space="0" w:color="00000A"/>
            </w:tcBorders>
            <w:shd w:fill="auto" w:val="clear"/>
            <w:tcMar>
              <w:left w:w="24" w:type="dxa"/>
            </w:tcMar>
            <w:vAlign w:val="center"/>
          </w:tcPr>
          <w:p>
            <w:pPr>
              <w:pStyle w:val="Normal"/>
              <w:jc w:val="center"/>
              <w:rPr>
                <w:rFonts w:ascii="Calibri" w:hAnsi="Calibri" w:cs="Calibri" w:asciiTheme="minorHAnsi" w:hAnsiTheme="minorHAnsi"/>
                <w:i/>
                <w:i/>
                <w:color w:val="000000"/>
                <w:sz w:val="22"/>
                <w:szCs w:val="22"/>
              </w:rPr>
            </w:pPr>
            <w:r>
              <w:rPr>
                <w:rFonts w:cs="Calibri" w:ascii="Calibri" w:hAnsi="Calibri" w:asciiTheme="minorHAnsi" w:hAnsiTheme="minorHAnsi"/>
                <w:i/>
                <w:color w:val="000000"/>
                <w:sz w:val="22"/>
                <w:szCs w:val="22"/>
              </w:rPr>
              <w:t>Celkem</w:t>
            </w:r>
          </w:p>
        </w:tc>
        <w:tc>
          <w:tcPr>
            <w:tcW w:w="988" w:type="dxa"/>
            <w:tcBorders>
              <w:top w:val="single" w:sz="2" w:space="0" w:color="00000A"/>
              <w:left w:val="single" w:sz="2" w:space="0" w:color="00000A"/>
              <w:bottom w:val="single" w:sz="2" w:space="0" w:color="00000A"/>
              <w:right w:val="single" w:sz="6" w:space="0" w:color="00000A"/>
              <w:insideH w:val="single" w:sz="2" w:space="0" w:color="00000A"/>
              <w:insideV w:val="single" w:sz="6" w:space="0" w:color="00000A"/>
            </w:tcBorders>
            <w:shd w:fill="auto" w:val="clear"/>
            <w:tcMar>
              <w:left w:w="24" w:type="dxa"/>
            </w:tcMar>
          </w:tcPr>
          <w:p>
            <w:pPr>
              <w:pStyle w:val="Normal"/>
              <w:jc w:val="center"/>
              <w:rPr>
                <w:rFonts w:ascii="Calibri" w:hAnsi="Calibri" w:cs="Calibri" w:asciiTheme="minorHAnsi" w:hAnsiTheme="minorHAnsi"/>
                <w:i/>
                <w:i/>
                <w:color w:val="000000"/>
                <w:sz w:val="22"/>
                <w:szCs w:val="22"/>
              </w:rPr>
            </w:pPr>
            <w:r>
              <w:rPr>
                <w:rFonts w:cs="Calibri" w:ascii="Calibri" w:hAnsi="Calibri" w:asciiTheme="minorHAnsi" w:hAnsiTheme="minorHAnsi"/>
                <w:i/>
                <w:color w:val="000000"/>
                <w:sz w:val="22"/>
                <w:szCs w:val="22"/>
              </w:rPr>
              <w:t>přeprava po železnici</w:t>
            </w:r>
          </w:p>
        </w:tc>
      </w:tr>
      <w:tr>
        <w:trPr>
          <w:trHeight w:val="566" w:hRule="atLeast"/>
          <w:cantSplit w:val="true"/>
        </w:trPr>
        <w:tc>
          <w:tcPr>
            <w:tcW w:w="776" w:type="dxa"/>
            <w:vMerge w:val="continue"/>
            <w:tcBorders>
              <w:top w:val="single" w:sz="6" w:space="0" w:color="00000A"/>
              <w:left w:val="single" w:sz="12" w:space="0" w:color="00000A"/>
              <w:bottom w:val="single" w:sz="6" w:space="0" w:color="00000A"/>
              <w:right w:val="single" w:sz="2" w:space="0" w:color="00000A"/>
              <w:insideH w:val="single" w:sz="6" w:space="0" w:color="00000A"/>
              <w:insideV w:val="single" w:sz="2" w:space="0" w:color="00000A"/>
            </w:tcBorders>
            <w:shd w:fill="auto" w:val="clear"/>
            <w:tcMar>
              <w:left w:w="0" w:type="dxa"/>
            </w:tcMar>
          </w:tcPr>
          <w:p>
            <w:pPr>
              <w:pStyle w:val="Normal"/>
              <w:jc w:val="center"/>
              <w:rPr>
                <w:rFonts w:ascii="Calibri" w:hAnsi="Calibri" w:cs="Calibri" w:asciiTheme="minorHAnsi" w:hAnsiTheme="minorHAnsi"/>
                <w:i/>
                <w:i/>
                <w:color w:val="000000"/>
                <w:sz w:val="22"/>
                <w:szCs w:val="22"/>
              </w:rPr>
            </w:pPr>
            <w:r>
              <w:rPr>
                <w:rFonts w:cs="Calibri" w:ascii="Calibri" w:hAnsi="Calibri"/>
                <w:i/>
                <w:color w:val="000000"/>
                <w:sz w:val="22"/>
                <w:szCs w:val="22"/>
              </w:rPr>
            </w:r>
          </w:p>
        </w:tc>
        <w:tc>
          <w:tcPr>
            <w:tcW w:w="851" w:type="dxa"/>
            <w:vMerge w:val="continue"/>
            <w:tcBorders>
              <w:top w:val="single" w:sz="6" w:space="0" w:color="00000A"/>
              <w:left w:val="single" w:sz="2" w:space="0" w:color="00000A"/>
              <w:bottom w:val="single" w:sz="6" w:space="0" w:color="00000A"/>
              <w:right w:val="single" w:sz="2" w:space="0" w:color="00000A"/>
              <w:insideH w:val="single" w:sz="6" w:space="0" w:color="00000A"/>
              <w:insideV w:val="single" w:sz="2" w:space="0" w:color="00000A"/>
            </w:tcBorders>
            <w:shd w:fill="auto" w:val="clear"/>
            <w:tcMar>
              <w:left w:w="24" w:type="dxa"/>
            </w:tcMar>
          </w:tcPr>
          <w:p>
            <w:pPr>
              <w:pStyle w:val="Normal"/>
              <w:jc w:val="center"/>
              <w:rPr>
                <w:rFonts w:ascii="Calibri" w:hAnsi="Calibri" w:cs="Calibri" w:asciiTheme="minorHAnsi" w:hAnsiTheme="minorHAnsi"/>
                <w:i/>
                <w:i/>
                <w:color w:val="000000"/>
                <w:sz w:val="22"/>
                <w:szCs w:val="22"/>
              </w:rPr>
            </w:pPr>
            <w:r>
              <w:rPr>
                <w:rFonts w:cs="Calibri" w:ascii="Calibri" w:hAnsi="Calibri"/>
                <w:i/>
                <w:color w:val="000000"/>
                <w:sz w:val="22"/>
                <w:szCs w:val="22"/>
              </w:rPr>
            </w:r>
          </w:p>
        </w:tc>
        <w:tc>
          <w:tcPr>
            <w:tcW w:w="955" w:type="dxa"/>
            <w:tcBorders>
              <w:top w:val="single" w:sz="2" w:space="0" w:color="00000A"/>
              <w:left w:val="single" w:sz="2" w:space="0" w:color="00000A"/>
              <w:right w:val="single" w:sz="6" w:space="0" w:color="00000A"/>
              <w:insideV w:val="single" w:sz="6" w:space="0" w:color="00000A"/>
            </w:tcBorders>
            <w:shd w:fill="auto" w:val="clear"/>
            <w:tcMar>
              <w:left w:w="24" w:type="dxa"/>
            </w:tcMar>
          </w:tcPr>
          <w:p>
            <w:pPr>
              <w:pStyle w:val="Normal"/>
              <w:jc w:val="center"/>
              <w:rPr>
                <w:rFonts w:ascii="Calibri" w:hAnsi="Calibri" w:cs="Calibri" w:asciiTheme="minorHAnsi" w:hAnsiTheme="minorHAnsi"/>
                <w:i/>
                <w:i/>
                <w:color w:val="000000"/>
                <w:sz w:val="22"/>
                <w:szCs w:val="22"/>
              </w:rPr>
            </w:pPr>
            <w:r>
              <w:rPr>
                <w:rFonts w:cs="Calibri" w:ascii="Calibri" w:hAnsi="Calibri" w:asciiTheme="minorHAnsi" w:hAnsiTheme="minorHAnsi"/>
                <w:i/>
                <w:color w:val="000000"/>
                <w:sz w:val="22"/>
                <w:szCs w:val="22"/>
              </w:rPr>
              <w:t>přeprava po ose</w:t>
            </w:r>
          </w:p>
        </w:tc>
        <w:tc>
          <w:tcPr>
            <w:tcW w:w="850" w:type="dxa"/>
            <w:vMerge w:val="continue"/>
            <w:tcBorders>
              <w:top w:val="single" w:sz="6" w:space="0" w:color="00000A"/>
              <w:left w:val="single" w:sz="2" w:space="0" w:color="00000A"/>
              <w:bottom w:val="single" w:sz="6" w:space="0" w:color="00000A"/>
              <w:right w:val="single" w:sz="2" w:space="0" w:color="00000A"/>
              <w:insideH w:val="single" w:sz="6" w:space="0" w:color="00000A"/>
              <w:insideV w:val="single" w:sz="2" w:space="0" w:color="00000A"/>
            </w:tcBorders>
            <w:shd w:fill="auto" w:val="clear"/>
            <w:tcMar>
              <w:left w:w="26" w:type="dxa"/>
            </w:tcMar>
          </w:tcPr>
          <w:p>
            <w:pPr>
              <w:pStyle w:val="Normal"/>
              <w:jc w:val="center"/>
              <w:rPr>
                <w:rFonts w:ascii="Calibri" w:hAnsi="Calibri" w:cs="Calibri" w:asciiTheme="minorHAnsi" w:hAnsiTheme="minorHAnsi"/>
                <w:i/>
                <w:i/>
                <w:color w:val="000000"/>
                <w:sz w:val="22"/>
                <w:szCs w:val="22"/>
              </w:rPr>
            </w:pPr>
            <w:r>
              <w:rPr>
                <w:rFonts w:cs="Calibri" w:ascii="Calibri" w:hAnsi="Calibri"/>
                <w:i/>
                <w:color w:val="000000"/>
                <w:sz w:val="22"/>
                <w:szCs w:val="22"/>
              </w:rPr>
            </w:r>
          </w:p>
        </w:tc>
        <w:tc>
          <w:tcPr>
            <w:tcW w:w="995" w:type="dxa"/>
            <w:tcBorders>
              <w:top w:val="single" w:sz="2" w:space="0" w:color="00000A"/>
              <w:left w:val="single" w:sz="2" w:space="0" w:color="00000A"/>
              <w:right w:val="single" w:sz="2" w:space="0" w:color="00000A"/>
              <w:insideV w:val="single" w:sz="2" w:space="0" w:color="00000A"/>
            </w:tcBorders>
            <w:shd w:fill="auto" w:val="clear"/>
            <w:tcMar>
              <w:left w:w="24" w:type="dxa"/>
            </w:tcMar>
          </w:tcPr>
          <w:p>
            <w:pPr>
              <w:pStyle w:val="Normal"/>
              <w:jc w:val="center"/>
              <w:rPr>
                <w:rFonts w:ascii="Calibri" w:hAnsi="Calibri" w:cs="Calibri" w:asciiTheme="minorHAnsi" w:hAnsiTheme="minorHAnsi"/>
                <w:i/>
                <w:i/>
                <w:color w:val="000000"/>
                <w:sz w:val="22"/>
                <w:szCs w:val="22"/>
              </w:rPr>
            </w:pPr>
            <w:r>
              <w:rPr>
                <w:rFonts w:cs="Calibri" w:ascii="Calibri" w:hAnsi="Calibri" w:asciiTheme="minorHAnsi" w:hAnsiTheme="minorHAnsi"/>
                <w:i/>
                <w:color w:val="000000"/>
                <w:sz w:val="22"/>
                <w:szCs w:val="22"/>
              </w:rPr>
              <w:t>přeprava po ose</w:t>
            </w:r>
          </w:p>
        </w:tc>
        <w:tc>
          <w:tcPr>
            <w:tcW w:w="850" w:type="dxa"/>
            <w:vMerge w:val="continue"/>
            <w:tcBorders>
              <w:top w:val="single" w:sz="6" w:space="0" w:color="00000A"/>
              <w:left w:val="single" w:sz="6" w:space="0" w:color="00000A"/>
              <w:bottom w:val="single" w:sz="6" w:space="0" w:color="00000A"/>
              <w:right w:val="single" w:sz="2" w:space="0" w:color="00000A"/>
              <w:insideH w:val="single" w:sz="6" w:space="0" w:color="00000A"/>
              <w:insideV w:val="single" w:sz="2" w:space="0" w:color="00000A"/>
            </w:tcBorders>
            <w:shd w:fill="auto" w:val="clear"/>
            <w:tcMar>
              <w:left w:w="14" w:type="dxa"/>
            </w:tcMar>
          </w:tcPr>
          <w:p>
            <w:pPr>
              <w:pStyle w:val="Normal"/>
              <w:jc w:val="center"/>
              <w:rPr>
                <w:rFonts w:ascii="Calibri" w:hAnsi="Calibri" w:cs="Calibri" w:asciiTheme="minorHAnsi" w:hAnsiTheme="minorHAnsi"/>
                <w:i/>
                <w:i/>
                <w:color w:val="000000"/>
                <w:sz w:val="22"/>
                <w:szCs w:val="22"/>
              </w:rPr>
            </w:pPr>
            <w:r>
              <w:rPr>
                <w:rFonts w:cs="Calibri" w:ascii="Calibri" w:hAnsi="Calibri"/>
                <w:i/>
                <w:color w:val="000000"/>
                <w:sz w:val="22"/>
                <w:szCs w:val="22"/>
              </w:rPr>
            </w:r>
          </w:p>
        </w:tc>
        <w:tc>
          <w:tcPr>
            <w:tcW w:w="992" w:type="dxa"/>
            <w:tcBorders>
              <w:top w:val="single" w:sz="2" w:space="0" w:color="00000A"/>
              <w:left w:val="single" w:sz="2" w:space="0" w:color="00000A"/>
              <w:right w:val="single" w:sz="6" w:space="0" w:color="00000A"/>
              <w:insideV w:val="single" w:sz="6" w:space="0" w:color="00000A"/>
            </w:tcBorders>
            <w:shd w:fill="auto" w:val="clear"/>
            <w:tcMar>
              <w:left w:w="24" w:type="dxa"/>
            </w:tcMar>
          </w:tcPr>
          <w:p>
            <w:pPr>
              <w:pStyle w:val="Normal"/>
              <w:jc w:val="center"/>
              <w:rPr>
                <w:rFonts w:ascii="Calibri" w:hAnsi="Calibri" w:cs="Calibri" w:asciiTheme="minorHAnsi" w:hAnsiTheme="minorHAnsi"/>
                <w:i/>
                <w:i/>
                <w:color w:val="000000"/>
                <w:sz w:val="22"/>
                <w:szCs w:val="22"/>
              </w:rPr>
            </w:pPr>
            <w:r>
              <w:rPr>
                <w:rFonts w:cs="Calibri" w:ascii="Calibri" w:hAnsi="Calibri" w:asciiTheme="minorHAnsi" w:hAnsiTheme="minorHAnsi"/>
                <w:i/>
                <w:color w:val="000000"/>
                <w:sz w:val="22"/>
                <w:szCs w:val="22"/>
              </w:rPr>
              <w:t>přeprava po ose</w:t>
            </w:r>
          </w:p>
        </w:tc>
        <w:tc>
          <w:tcPr>
            <w:tcW w:w="851" w:type="dxa"/>
            <w:vMerge w:val="continue"/>
            <w:tcBorders>
              <w:top w:val="single" w:sz="6" w:space="0" w:color="00000A"/>
              <w:left w:val="single" w:sz="2" w:space="0" w:color="00000A"/>
              <w:bottom w:val="single" w:sz="6" w:space="0" w:color="00000A"/>
              <w:right w:val="single" w:sz="2" w:space="0" w:color="00000A"/>
              <w:insideH w:val="single" w:sz="6" w:space="0" w:color="00000A"/>
              <w:insideV w:val="single" w:sz="2" w:space="0" w:color="00000A"/>
            </w:tcBorders>
            <w:shd w:fill="auto" w:val="clear"/>
            <w:tcMar>
              <w:left w:w="26" w:type="dxa"/>
            </w:tcMar>
          </w:tcPr>
          <w:p>
            <w:pPr>
              <w:pStyle w:val="Normal"/>
              <w:jc w:val="center"/>
              <w:rPr>
                <w:rFonts w:ascii="Calibri" w:hAnsi="Calibri" w:cs="Calibri" w:asciiTheme="minorHAnsi" w:hAnsiTheme="minorHAnsi"/>
                <w:i/>
                <w:i/>
                <w:color w:val="000000"/>
                <w:sz w:val="22"/>
                <w:szCs w:val="22"/>
              </w:rPr>
            </w:pPr>
            <w:r>
              <w:rPr>
                <w:rFonts w:cs="Calibri" w:ascii="Calibri" w:hAnsi="Calibri"/>
                <w:i/>
                <w:color w:val="000000"/>
                <w:sz w:val="22"/>
                <w:szCs w:val="22"/>
              </w:rPr>
            </w:r>
          </w:p>
        </w:tc>
        <w:tc>
          <w:tcPr>
            <w:tcW w:w="992" w:type="dxa"/>
            <w:tcBorders>
              <w:top w:val="single" w:sz="2" w:space="0" w:color="00000A"/>
              <w:left w:val="single" w:sz="2" w:space="0" w:color="00000A"/>
              <w:right w:val="single" w:sz="6" w:space="0" w:color="00000A"/>
              <w:insideV w:val="single" w:sz="6" w:space="0" w:color="00000A"/>
            </w:tcBorders>
            <w:shd w:fill="auto" w:val="clear"/>
            <w:tcMar>
              <w:left w:w="24" w:type="dxa"/>
            </w:tcMar>
          </w:tcPr>
          <w:p>
            <w:pPr>
              <w:pStyle w:val="Normal"/>
              <w:jc w:val="center"/>
              <w:rPr>
                <w:rFonts w:ascii="Calibri" w:hAnsi="Calibri" w:cs="Calibri" w:asciiTheme="minorHAnsi" w:hAnsiTheme="minorHAnsi"/>
                <w:i/>
                <w:i/>
                <w:color w:val="000000"/>
                <w:sz w:val="22"/>
                <w:szCs w:val="22"/>
              </w:rPr>
            </w:pPr>
            <w:r>
              <w:rPr>
                <w:rFonts w:cs="Calibri" w:ascii="Calibri" w:hAnsi="Calibri" w:asciiTheme="minorHAnsi" w:hAnsiTheme="minorHAnsi"/>
                <w:i/>
                <w:color w:val="000000"/>
                <w:sz w:val="22"/>
                <w:szCs w:val="22"/>
              </w:rPr>
              <w:t>přeprava po ose</w:t>
            </w:r>
          </w:p>
        </w:tc>
        <w:tc>
          <w:tcPr>
            <w:tcW w:w="851" w:type="dxa"/>
            <w:vMerge w:val="continue"/>
            <w:tcBorders>
              <w:top w:val="single" w:sz="6" w:space="0" w:color="00000A"/>
              <w:left w:val="single" w:sz="2" w:space="0" w:color="00000A"/>
              <w:bottom w:val="single" w:sz="6" w:space="0" w:color="00000A"/>
              <w:right w:val="single" w:sz="6" w:space="0" w:color="00000A"/>
              <w:insideH w:val="single" w:sz="6" w:space="0" w:color="00000A"/>
              <w:insideV w:val="single" w:sz="6" w:space="0" w:color="00000A"/>
            </w:tcBorders>
            <w:shd w:fill="auto" w:val="clear"/>
            <w:tcMar>
              <w:left w:w="24" w:type="dxa"/>
            </w:tcMar>
          </w:tcPr>
          <w:p>
            <w:pPr>
              <w:pStyle w:val="Normal"/>
              <w:jc w:val="center"/>
              <w:rPr>
                <w:rFonts w:ascii="Calibri" w:hAnsi="Calibri" w:cs="Calibri" w:asciiTheme="minorHAnsi" w:hAnsiTheme="minorHAnsi"/>
                <w:i/>
                <w:i/>
                <w:color w:val="000000"/>
                <w:sz w:val="22"/>
                <w:szCs w:val="22"/>
              </w:rPr>
            </w:pPr>
            <w:r>
              <w:rPr>
                <w:rFonts w:cs="Calibri" w:ascii="Calibri" w:hAnsi="Calibri"/>
                <w:i/>
                <w:color w:val="000000"/>
                <w:sz w:val="22"/>
                <w:szCs w:val="22"/>
              </w:rPr>
            </w:r>
          </w:p>
        </w:tc>
        <w:tc>
          <w:tcPr>
            <w:tcW w:w="988" w:type="dxa"/>
            <w:tcBorders>
              <w:top w:val="single" w:sz="2" w:space="0" w:color="00000A"/>
              <w:left w:val="single" w:sz="2" w:space="0" w:color="00000A"/>
              <w:right w:val="single" w:sz="6" w:space="0" w:color="00000A"/>
              <w:insideV w:val="single" w:sz="6" w:space="0" w:color="00000A"/>
            </w:tcBorders>
            <w:shd w:fill="auto" w:val="clear"/>
            <w:tcMar>
              <w:left w:w="24" w:type="dxa"/>
            </w:tcMar>
          </w:tcPr>
          <w:p>
            <w:pPr>
              <w:pStyle w:val="Normal"/>
              <w:jc w:val="center"/>
              <w:rPr>
                <w:rFonts w:ascii="Calibri" w:hAnsi="Calibri" w:cs="Calibri" w:asciiTheme="minorHAnsi" w:hAnsiTheme="minorHAnsi"/>
                <w:i/>
                <w:i/>
                <w:color w:val="000000"/>
                <w:sz w:val="22"/>
                <w:szCs w:val="22"/>
              </w:rPr>
            </w:pPr>
            <w:r>
              <w:rPr>
                <w:rFonts w:cs="Calibri" w:ascii="Calibri" w:hAnsi="Calibri" w:asciiTheme="minorHAnsi" w:hAnsiTheme="minorHAnsi"/>
                <w:i/>
                <w:color w:val="000000"/>
                <w:sz w:val="22"/>
                <w:szCs w:val="22"/>
              </w:rPr>
              <w:t>přeprava po ose</w:t>
            </w:r>
          </w:p>
        </w:tc>
      </w:tr>
      <w:tr>
        <w:trPr>
          <w:trHeight w:val="230" w:hRule="atLeast"/>
          <w:cantSplit w:val="true"/>
        </w:trPr>
        <w:tc>
          <w:tcPr>
            <w:tcW w:w="776" w:type="dxa"/>
            <w:vMerge w:val="restart"/>
            <w:tcBorders>
              <w:top w:val="single" w:sz="2" w:space="0" w:color="00000A"/>
              <w:left w:val="single" w:sz="12" w:space="0" w:color="00000A"/>
              <w:right w:val="single" w:sz="2" w:space="0" w:color="00000A"/>
              <w:insideV w:val="single" w:sz="2" w:space="0" w:color="00000A"/>
            </w:tcBorders>
            <w:shd w:fill="auto" w:val="clear"/>
            <w:tcMar>
              <w:left w:w="0" w:type="dxa"/>
            </w:tcMar>
            <w:vAlign w:val="center"/>
          </w:tcPr>
          <w:p>
            <w:pPr>
              <w:pStyle w:val="Normal"/>
              <w:jc w:val="center"/>
              <w:rPr>
                <w:rFonts w:ascii="Calibri" w:hAnsi="Calibri" w:cs="Calibri" w:asciiTheme="minorHAnsi" w:cstheme="minorHAnsi" w:hAnsiTheme="minorHAnsi"/>
                <w:i/>
                <w:i/>
                <w:sz w:val="22"/>
                <w:szCs w:val="22"/>
              </w:rPr>
            </w:pPr>
            <w:r>
              <w:rPr>
                <w:rFonts w:cs="Calibri" w:ascii="Calibri" w:hAnsi="Calibri" w:asciiTheme="minorHAnsi" w:cstheme="minorHAnsi" w:hAnsiTheme="minorHAnsi"/>
                <w:i/>
                <w:sz w:val="22"/>
                <w:szCs w:val="22"/>
              </w:rPr>
              <w:t>hp1</w:t>
            </w:r>
          </w:p>
        </w:tc>
        <w:tc>
          <w:tcPr>
            <w:tcW w:w="851" w:type="dxa"/>
            <w:vMerge w:val="restart"/>
            <w:tcBorders>
              <w:top w:val="single" w:sz="2" w:space="0" w:color="00000A"/>
              <w:left w:val="single" w:sz="2" w:space="0" w:color="00000A"/>
              <w:right w:val="single" w:sz="2" w:space="0" w:color="00000A"/>
              <w:insideV w:val="single" w:sz="2" w:space="0" w:color="00000A"/>
            </w:tcBorders>
            <w:shd w:fill="auto" w:val="clear"/>
            <w:tcMar>
              <w:left w:w="24" w:type="dxa"/>
            </w:tcMar>
            <w:vAlign w:val="center"/>
          </w:tcPr>
          <w:p>
            <w:pPr>
              <w:pStyle w:val="Normal"/>
              <w:jc w:val="center"/>
              <w:rPr>
                <w:rFonts w:ascii="Calibri" w:hAnsi="Calibri" w:cs="Calibri" w:asciiTheme="minorHAnsi" w:cstheme="minorHAnsi" w:hAnsiTheme="minorHAnsi"/>
                <w:i/>
                <w:i/>
                <w:sz w:val="22"/>
                <w:szCs w:val="22"/>
              </w:rPr>
            </w:pPr>
            <w:r>
              <w:rPr>
                <w:rFonts w:cs="Calibri" w:ascii="Calibri" w:hAnsi="Calibri" w:asciiTheme="minorHAnsi" w:cstheme="minorHAnsi" w:hAnsiTheme="minorHAnsi"/>
                <w:i/>
                <w:sz w:val="22"/>
                <w:szCs w:val="22"/>
              </w:rPr>
              <w:t>3 800</w:t>
            </w:r>
          </w:p>
        </w:tc>
        <w:tc>
          <w:tcPr>
            <w:tcW w:w="955" w:type="dxa"/>
            <w:tcBorders>
              <w:top w:val="single" w:sz="2" w:space="0" w:color="00000A"/>
              <w:left w:val="single" w:sz="2" w:space="0" w:color="00000A"/>
              <w:bottom w:val="single" w:sz="2" w:space="0" w:color="00000A"/>
              <w:right w:val="single" w:sz="6" w:space="0" w:color="00000A"/>
              <w:insideH w:val="single" w:sz="2" w:space="0" w:color="00000A"/>
              <w:insideV w:val="single" w:sz="6" w:space="0" w:color="00000A"/>
            </w:tcBorders>
            <w:shd w:fill="auto" w:val="clear"/>
            <w:tcMar>
              <w:left w:w="24" w:type="dxa"/>
            </w:tcMar>
            <w:vAlign w:val="center"/>
          </w:tcPr>
          <w:p>
            <w:pPr>
              <w:pStyle w:val="Normal"/>
              <w:jc w:val="center"/>
              <w:rPr>
                <w:rFonts w:ascii="Calibri" w:hAnsi="Calibri" w:cs="Calibri" w:asciiTheme="minorHAnsi" w:cstheme="minorHAnsi" w:hAnsiTheme="minorHAnsi"/>
                <w:i/>
                <w:i/>
                <w:sz w:val="22"/>
                <w:szCs w:val="22"/>
              </w:rPr>
            </w:pPr>
            <w:r>
              <w:rPr>
                <w:rFonts w:cs="Calibri" w:ascii="Calibri" w:hAnsi="Calibri" w:asciiTheme="minorHAnsi" w:cstheme="minorHAnsi" w:hAnsiTheme="minorHAnsi"/>
                <w:i/>
                <w:sz w:val="22"/>
                <w:szCs w:val="22"/>
              </w:rPr>
              <w:t>3 800</w:t>
            </w:r>
          </w:p>
        </w:tc>
        <w:tc>
          <w:tcPr>
            <w:tcW w:w="850" w:type="dxa"/>
            <w:vMerge w:val="restart"/>
            <w:tcBorders>
              <w:top w:val="single" w:sz="2" w:space="0" w:color="00000A"/>
              <w:left w:val="single" w:sz="2" w:space="0" w:color="00000A"/>
              <w:right w:val="single" w:sz="2" w:space="0" w:color="00000A"/>
              <w:insideV w:val="single" w:sz="2" w:space="0" w:color="00000A"/>
            </w:tcBorders>
            <w:shd w:fill="auto" w:val="clear"/>
            <w:tcMar>
              <w:left w:w="26" w:type="dxa"/>
            </w:tcMar>
            <w:vAlign w:val="center"/>
          </w:tcPr>
          <w:p>
            <w:pPr>
              <w:pStyle w:val="Normal"/>
              <w:jc w:val="center"/>
              <w:rPr>
                <w:rFonts w:ascii="Calibri" w:hAnsi="Calibri" w:cs="Calibri" w:asciiTheme="minorHAnsi" w:cstheme="minorHAnsi" w:hAnsiTheme="minorHAnsi"/>
                <w:i/>
                <w:i/>
                <w:sz w:val="22"/>
                <w:szCs w:val="22"/>
              </w:rPr>
            </w:pPr>
            <w:r>
              <w:rPr>
                <w:rFonts w:cs="Calibri" w:ascii="Calibri" w:hAnsi="Calibri" w:asciiTheme="minorHAnsi" w:cstheme="minorHAnsi" w:hAnsiTheme="minorHAnsi"/>
                <w:i/>
                <w:sz w:val="22"/>
                <w:szCs w:val="22"/>
              </w:rPr>
              <w:t>2 300</w:t>
            </w:r>
          </w:p>
        </w:tc>
        <w:tc>
          <w:tcPr>
            <w:tcW w:w="995" w:type="dxa"/>
            <w:tcBorders>
              <w:top w:val="single" w:sz="2" w:space="0" w:color="00000A"/>
              <w:left w:val="single" w:sz="2" w:space="0" w:color="00000A"/>
              <w:bottom w:val="single" w:sz="2" w:space="0" w:color="00000A"/>
              <w:right w:val="single" w:sz="2" w:space="0" w:color="00000A"/>
              <w:insideH w:val="single" w:sz="2" w:space="0" w:color="00000A"/>
              <w:insideV w:val="single" w:sz="2" w:space="0" w:color="00000A"/>
            </w:tcBorders>
            <w:shd w:fill="auto" w:val="clear"/>
            <w:tcMar>
              <w:left w:w="24" w:type="dxa"/>
            </w:tcMar>
            <w:vAlign w:val="center"/>
          </w:tcPr>
          <w:p>
            <w:pPr>
              <w:pStyle w:val="Normal"/>
              <w:jc w:val="center"/>
              <w:rPr>
                <w:rFonts w:ascii="Calibri" w:hAnsi="Calibri" w:cs="Calibri" w:asciiTheme="minorHAnsi" w:cstheme="minorHAnsi" w:hAnsiTheme="minorHAnsi"/>
                <w:i/>
                <w:i/>
                <w:sz w:val="22"/>
                <w:szCs w:val="22"/>
              </w:rPr>
            </w:pPr>
            <w:r>
              <w:rPr>
                <w:rFonts w:cs="Calibri" w:ascii="Calibri" w:hAnsi="Calibri" w:asciiTheme="minorHAnsi" w:cstheme="minorHAnsi" w:hAnsiTheme="minorHAnsi"/>
                <w:i/>
                <w:sz w:val="22"/>
                <w:szCs w:val="22"/>
              </w:rPr>
              <w:t>2 300</w:t>
            </w:r>
          </w:p>
        </w:tc>
        <w:tc>
          <w:tcPr>
            <w:tcW w:w="850" w:type="dxa"/>
            <w:vMerge w:val="restart"/>
            <w:tcBorders>
              <w:top w:val="single" w:sz="2" w:space="0" w:color="00000A"/>
              <w:left w:val="single" w:sz="6" w:space="0" w:color="00000A"/>
              <w:right w:val="single" w:sz="2" w:space="0" w:color="00000A"/>
              <w:insideV w:val="single" w:sz="2" w:space="0" w:color="00000A"/>
            </w:tcBorders>
            <w:shd w:fill="auto" w:val="clear"/>
            <w:tcMar>
              <w:left w:w="14" w:type="dxa"/>
            </w:tcMar>
            <w:vAlign w:val="center"/>
          </w:tcPr>
          <w:p>
            <w:pPr>
              <w:pStyle w:val="Normal"/>
              <w:jc w:val="center"/>
              <w:rPr>
                <w:rFonts w:ascii="Calibri" w:hAnsi="Calibri" w:cs="Calibri" w:asciiTheme="minorHAnsi" w:cstheme="minorHAnsi" w:hAnsiTheme="minorHAnsi"/>
                <w:i/>
                <w:i/>
                <w:sz w:val="22"/>
                <w:szCs w:val="22"/>
              </w:rPr>
            </w:pPr>
            <w:r>
              <w:rPr>
                <w:rFonts w:cs="Calibri" w:ascii="Calibri" w:hAnsi="Calibri" w:asciiTheme="minorHAnsi" w:cstheme="minorHAnsi" w:hAnsiTheme="minorHAnsi"/>
                <w:i/>
                <w:sz w:val="22"/>
                <w:szCs w:val="22"/>
              </w:rPr>
              <w:t>1 800</w:t>
            </w:r>
          </w:p>
        </w:tc>
        <w:tc>
          <w:tcPr>
            <w:tcW w:w="992" w:type="dxa"/>
            <w:tcBorders>
              <w:top w:val="single" w:sz="2" w:space="0" w:color="00000A"/>
              <w:left w:val="single" w:sz="2" w:space="0" w:color="00000A"/>
              <w:bottom w:val="single" w:sz="2" w:space="0" w:color="00000A"/>
              <w:right w:val="single" w:sz="6" w:space="0" w:color="00000A"/>
              <w:insideH w:val="single" w:sz="2" w:space="0" w:color="00000A"/>
              <w:insideV w:val="single" w:sz="6" w:space="0" w:color="00000A"/>
            </w:tcBorders>
            <w:shd w:fill="auto" w:val="clear"/>
            <w:tcMar>
              <w:left w:w="24" w:type="dxa"/>
            </w:tcMar>
            <w:vAlign w:val="center"/>
          </w:tcPr>
          <w:p>
            <w:pPr>
              <w:pStyle w:val="Normal"/>
              <w:jc w:val="center"/>
              <w:rPr>
                <w:rFonts w:ascii="Calibri" w:hAnsi="Calibri" w:cs="Calibri" w:asciiTheme="minorHAnsi" w:cstheme="minorHAnsi" w:hAnsiTheme="minorHAnsi"/>
                <w:i/>
                <w:i/>
                <w:sz w:val="22"/>
                <w:szCs w:val="22"/>
              </w:rPr>
            </w:pPr>
            <w:r>
              <w:rPr>
                <w:rFonts w:cs="Calibri" w:ascii="Calibri" w:hAnsi="Calibri" w:asciiTheme="minorHAnsi" w:cstheme="minorHAnsi" w:hAnsiTheme="minorHAnsi"/>
                <w:i/>
                <w:sz w:val="22"/>
                <w:szCs w:val="22"/>
              </w:rPr>
              <w:t>1 800</w:t>
            </w:r>
          </w:p>
        </w:tc>
        <w:tc>
          <w:tcPr>
            <w:tcW w:w="851" w:type="dxa"/>
            <w:vMerge w:val="restart"/>
            <w:tcBorders>
              <w:top w:val="single" w:sz="2" w:space="0" w:color="00000A"/>
              <w:left w:val="single" w:sz="2" w:space="0" w:color="00000A"/>
              <w:right w:val="single" w:sz="2" w:space="0" w:color="00000A"/>
              <w:insideV w:val="single" w:sz="2" w:space="0" w:color="00000A"/>
            </w:tcBorders>
            <w:shd w:fill="auto" w:val="clear"/>
            <w:tcMar>
              <w:left w:w="26" w:type="dxa"/>
            </w:tcMar>
            <w:vAlign w:val="center"/>
          </w:tcPr>
          <w:p>
            <w:pPr>
              <w:pStyle w:val="Normal"/>
              <w:jc w:val="center"/>
              <w:rPr>
                <w:rFonts w:ascii="Calibri" w:hAnsi="Calibri" w:cs="Calibri" w:asciiTheme="minorHAnsi" w:cstheme="minorHAnsi" w:hAnsiTheme="minorHAnsi"/>
                <w:i/>
                <w:i/>
                <w:sz w:val="22"/>
                <w:szCs w:val="22"/>
              </w:rPr>
            </w:pPr>
            <w:r>
              <w:rPr>
                <w:rFonts w:cs="Calibri" w:ascii="Calibri" w:hAnsi="Calibri" w:asciiTheme="minorHAnsi" w:cstheme="minorHAnsi" w:hAnsiTheme="minorHAnsi"/>
                <w:i/>
                <w:sz w:val="22"/>
                <w:szCs w:val="22"/>
              </w:rPr>
              <w:t>3 600</w:t>
            </w:r>
          </w:p>
        </w:tc>
        <w:tc>
          <w:tcPr>
            <w:tcW w:w="992" w:type="dxa"/>
            <w:tcBorders>
              <w:top w:val="single" w:sz="2" w:space="0" w:color="00000A"/>
              <w:left w:val="single" w:sz="2" w:space="0" w:color="00000A"/>
              <w:bottom w:val="single" w:sz="2" w:space="0" w:color="00000A"/>
              <w:right w:val="single" w:sz="6" w:space="0" w:color="00000A"/>
              <w:insideH w:val="single" w:sz="2" w:space="0" w:color="00000A"/>
              <w:insideV w:val="single" w:sz="6" w:space="0" w:color="00000A"/>
            </w:tcBorders>
            <w:shd w:fill="auto" w:val="clear"/>
            <w:tcMar>
              <w:left w:w="24" w:type="dxa"/>
            </w:tcMar>
            <w:vAlign w:val="center"/>
          </w:tcPr>
          <w:p>
            <w:pPr>
              <w:pStyle w:val="Normal"/>
              <w:jc w:val="center"/>
              <w:rPr>
                <w:rFonts w:ascii="Calibri" w:hAnsi="Calibri" w:cs="Calibri" w:asciiTheme="minorHAnsi" w:cstheme="minorHAnsi" w:hAnsiTheme="minorHAnsi"/>
                <w:i/>
                <w:i/>
                <w:sz w:val="22"/>
                <w:szCs w:val="22"/>
              </w:rPr>
            </w:pPr>
            <w:r>
              <w:rPr>
                <w:rFonts w:cs="Calibri" w:ascii="Calibri" w:hAnsi="Calibri" w:asciiTheme="minorHAnsi" w:cstheme="minorHAnsi" w:hAnsiTheme="minorHAnsi"/>
                <w:i/>
                <w:sz w:val="22"/>
                <w:szCs w:val="22"/>
              </w:rPr>
              <w:t>3 600</w:t>
            </w:r>
          </w:p>
        </w:tc>
        <w:tc>
          <w:tcPr>
            <w:tcW w:w="851" w:type="dxa"/>
            <w:vMerge w:val="restart"/>
            <w:tcBorders>
              <w:top w:val="single" w:sz="2" w:space="0" w:color="00000A"/>
              <w:left w:val="single" w:sz="2" w:space="0" w:color="00000A"/>
              <w:right w:val="single" w:sz="6" w:space="0" w:color="00000A"/>
              <w:insideV w:val="single" w:sz="6" w:space="0" w:color="00000A"/>
            </w:tcBorders>
            <w:shd w:fill="auto" w:val="clear"/>
            <w:tcMar>
              <w:left w:w="24" w:type="dxa"/>
            </w:tcMar>
            <w:vAlign w:val="center"/>
          </w:tcPr>
          <w:p>
            <w:pPr>
              <w:pStyle w:val="Normal"/>
              <w:jc w:val="center"/>
              <w:rPr>
                <w:rFonts w:ascii="Calibri" w:hAnsi="Calibri" w:cs="Calibri" w:asciiTheme="minorHAnsi" w:cstheme="minorHAnsi" w:hAnsiTheme="minorHAnsi"/>
                <w:i/>
                <w:i/>
                <w:sz w:val="22"/>
                <w:szCs w:val="22"/>
              </w:rPr>
            </w:pPr>
            <w:r>
              <w:rPr>
                <w:rFonts w:cs="Calibri" w:ascii="Calibri" w:hAnsi="Calibri" w:asciiTheme="minorHAnsi" w:cstheme="minorHAnsi" w:hAnsiTheme="minorHAnsi"/>
                <w:i/>
                <w:sz w:val="22"/>
                <w:szCs w:val="22"/>
              </w:rPr>
              <w:t>11 500</w:t>
            </w:r>
          </w:p>
        </w:tc>
        <w:tc>
          <w:tcPr>
            <w:tcW w:w="988" w:type="dxa"/>
            <w:tcBorders>
              <w:top w:val="single" w:sz="2" w:space="0" w:color="00000A"/>
              <w:left w:val="single" w:sz="2" w:space="0" w:color="00000A"/>
              <w:bottom w:val="single" w:sz="2" w:space="0" w:color="00000A"/>
              <w:right w:val="single" w:sz="6" w:space="0" w:color="00000A"/>
              <w:insideH w:val="single" w:sz="2" w:space="0" w:color="00000A"/>
              <w:insideV w:val="single" w:sz="6" w:space="0" w:color="00000A"/>
            </w:tcBorders>
            <w:shd w:fill="auto" w:val="clear"/>
            <w:tcMar>
              <w:left w:w="24" w:type="dxa"/>
            </w:tcMar>
            <w:vAlign w:val="center"/>
          </w:tcPr>
          <w:p>
            <w:pPr>
              <w:pStyle w:val="Normal"/>
              <w:jc w:val="center"/>
              <w:rPr>
                <w:rFonts w:ascii="Calibri" w:hAnsi="Calibri" w:cs="Calibri" w:asciiTheme="minorHAnsi" w:cstheme="minorHAnsi" w:hAnsiTheme="minorHAnsi"/>
                <w:i/>
                <w:i/>
                <w:sz w:val="22"/>
                <w:szCs w:val="22"/>
              </w:rPr>
            </w:pPr>
            <w:r>
              <w:rPr>
                <w:rFonts w:cs="Calibri" w:ascii="Calibri" w:hAnsi="Calibri" w:asciiTheme="minorHAnsi" w:cstheme="minorHAnsi" w:hAnsiTheme="minorHAnsi"/>
                <w:i/>
                <w:sz w:val="22"/>
                <w:szCs w:val="22"/>
              </w:rPr>
              <w:t>11 500</w:t>
            </w:r>
          </w:p>
        </w:tc>
      </w:tr>
      <w:tr>
        <w:trPr>
          <w:trHeight w:val="230" w:hRule="atLeast"/>
          <w:cantSplit w:val="true"/>
        </w:trPr>
        <w:tc>
          <w:tcPr>
            <w:tcW w:w="776" w:type="dxa"/>
            <w:vMerge w:val="continue"/>
            <w:tcBorders>
              <w:top w:val="single" w:sz="6" w:space="0" w:color="00000A"/>
              <w:left w:val="single" w:sz="12" w:space="0" w:color="00000A"/>
              <w:bottom w:val="single" w:sz="6" w:space="0" w:color="00000A"/>
              <w:right w:val="single" w:sz="2" w:space="0" w:color="00000A"/>
              <w:insideH w:val="single" w:sz="6" w:space="0" w:color="00000A"/>
              <w:insideV w:val="single" w:sz="2" w:space="0" w:color="00000A"/>
            </w:tcBorders>
            <w:shd w:fill="auto" w:val="clear"/>
            <w:tcMar>
              <w:left w:w="0" w:type="dxa"/>
            </w:tcMar>
            <w:vAlign w:val="center"/>
          </w:tcPr>
          <w:p>
            <w:pPr>
              <w:pStyle w:val="Normal"/>
              <w:jc w:val="center"/>
              <w:rPr>
                <w:rFonts w:ascii="Calibri" w:hAnsi="Calibri" w:cs="Calibri" w:asciiTheme="minorHAnsi" w:cstheme="minorHAnsi" w:hAnsiTheme="minorHAnsi"/>
                <w:i/>
                <w:i/>
                <w:sz w:val="22"/>
                <w:szCs w:val="22"/>
              </w:rPr>
            </w:pPr>
            <w:r>
              <w:rPr>
                <w:rFonts w:cs="Calibri" w:cstheme="minorHAnsi" w:ascii="Calibri" w:hAnsi="Calibri"/>
                <w:i/>
                <w:sz w:val="22"/>
                <w:szCs w:val="22"/>
              </w:rPr>
            </w:r>
          </w:p>
        </w:tc>
        <w:tc>
          <w:tcPr>
            <w:tcW w:w="851" w:type="dxa"/>
            <w:vMerge w:val="continue"/>
            <w:tcBorders>
              <w:top w:val="single" w:sz="6" w:space="0" w:color="00000A"/>
              <w:left w:val="single" w:sz="2" w:space="0" w:color="00000A"/>
              <w:bottom w:val="single" w:sz="6" w:space="0" w:color="00000A"/>
              <w:right w:val="single" w:sz="2" w:space="0" w:color="00000A"/>
              <w:insideH w:val="single" w:sz="6" w:space="0" w:color="00000A"/>
              <w:insideV w:val="single" w:sz="2" w:space="0" w:color="00000A"/>
            </w:tcBorders>
            <w:shd w:fill="auto" w:val="clear"/>
            <w:tcMar>
              <w:left w:w="24" w:type="dxa"/>
            </w:tcMar>
            <w:vAlign w:val="center"/>
          </w:tcPr>
          <w:p>
            <w:pPr>
              <w:pStyle w:val="Normal"/>
              <w:jc w:val="center"/>
              <w:rPr>
                <w:rFonts w:ascii="Calibri" w:hAnsi="Calibri" w:cs="Calibri" w:asciiTheme="minorHAnsi" w:cstheme="minorHAnsi" w:hAnsiTheme="minorHAnsi"/>
                <w:i/>
                <w:i/>
                <w:sz w:val="22"/>
                <w:szCs w:val="22"/>
              </w:rPr>
            </w:pPr>
            <w:r>
              <w:rPr>
                <w:rFonts w:cs="Calibri" w:cstheme="minorHAnsi" w:ascii="Calibri" w:hAnsi="Calibri"/>
                <w:i/>
                <w:sz w:val="22"/>
                <w:szCs w:val="22"/>
              </w:rPr>
            </w:r>
          </w:p>
        </w:tc>
        <w:tc>
          <w:tcPr>
            <w:tcW w:w="955" w:type="dxa"/>
            <w:tcBorders>
              <w:top w:val="single" w:sz="2" w:space="0" w:color="00000A"/>
              <w:left w:val="single" w:sz="2" w:space="0" w:color="00000A"/>
              <w:bottom w:val="single" w:sz="6" w:space="0" w:color="00000A"/>
              <w:right w:val="single" w:sz="6" w:space="0" w:color="00000A"/>
              <w:insideH w:val="single" w:sz="6" w:space="0" w:color="00000A"/>
              <w:insideV w:val="single" w:sz="6" w:space="0" w:color="00000A"/>
            </w:tcBorders>
            <w:shd w:fill="auto" w:val="clear"/>
            <w:tcMar>
              <w:left w:w="24" w:type="dxa"/>
            </w:tcMar>
            <w:vAlign w:val="center"/>
          </w:tcPr>
          <w:p>
            <w:pPr>
              <w:pStyle w:val="Normal"/>
              <w:jc w:val="center"/>
              <w:rPr>
                <w:rFonts w:ascii="Calibri" w:hAnsi="Calibri" w:cs="Calibri" w:asciiTheme="minorHAnsi" w:cstheme="minorHAnsi" w:hAnsiTheme="minorHAnsi"/>
                <w:i/>
                <w:i/>
                <w:sz w:val="22"/>
                <w:szCs w:val="22"/>
              </w:rPr>
            </w:pPr>
            <w:r>
              <w:rPr>
                <w:rFonts w:cs="Calibri" w:cstheme="minorHAnsi" w:ascii="Calibri" w:hAnsi="Calibri"/>
                <w:i/>
                <w:sz w:val="22"/>
                <w:szCs w:val="22"/>
              </w:rPr>
            </w:r>
          </w:p>
        </w:tc>
        <w:tc>
          <w:tcPr>
            <w:tcW w:w="850" w:type="dxa"/>
            <w:vMerge w:val="continue"/>
            <w:tcBorders>
              <w:top w:val="single" w:sz="6" w:space="0" w:color="00000A"/>
              <w:left w:val="single" w:sz="2" w:space="0" w:color="00000A"/>
              <w:bottom w:val="single" w:sz="6" w:space="0" w:color="00000A"/>
              <w:right w:val="single" w:sz="2" w:space="0" w:color="00000A"/>
              <w:insideH w:val="single" w:sz="6" w:space="0" w:color="00000A"/>
              <w:insideV w:val="single" w:sz="2" w:space="0" w:color="00000A"/>
            </w:tcBorders>
            <w:shd w:fill="auto" w:val="clear"/>
            <w:tcMar>
              <w:left w:w="26" w:type="dxa"/>
            </w:tcMar>
            <w:vAlign w:val="center"/>
          </w:tcPr>
          <w:p>
            <w:pPr>
              <w:pStyle w:val="Normal"/>
              <w:jc w:val="center"/>
              <w:rPr>
                <w:rFonts w:ascii="Calibri" w:hAnsi="Calibri" w:cs="Calibri" w:asciiTheme="minorHAnsi" w:cstheme="minorHAnsi" w:hAnsiTheme="minorHAnsi"/>
                <w:i/>
                <w:i/>
                <w:sz w:val="22"/>
                <w:szCs w:val="22"/>
              </w:rPr>
            </w:pPr>
            <w:r>
              <w:rPr>
                <w:rFonts w:cs="Calibri" w:cstheme="minorHAnsi" w:ascii="Calibri" w:hAnsi="Calibri"/>
                <w:i/>
                <w:sz w:val="22"/>
                <w:szCs w:val="22"/>
              </w:rPr>
            </w:r>
          </w:p>
        </w:tc>
        <w:tc>
          <w:tcPr>
            <w:tcW w:w="995" w:type="dxa"/>
            <w:tcBorders>
              <w:top w:val="single" w:sz="2" w:space="0" w:color="00000A"/>
              <w:left w:val="single" w:sz="2" w:space="0" w:color="00000A"/>
              <w:bottom w:val="single" w:sz="6" w:space="0" w:color="00000A"/>
              <w:right w:val="single" w:sz="2" w:space="0" w:color="00000A"/>
              <w:insideH w:val="single" w:sz="6" w:space="0" w:color="00000A"/>
              <w:insideV w:val="single" w:sz="2" w:space="0" w:color="00000A"/>
            </w:tcBorders>
            <w:shd w:fill="auto" w:val="clear"/>
            <w:tcMar>
              <w:left w:w="24" w:type="dxa"/>
            </w:tcMar>
            <w:vAlign w:val="center"/>
          </w:tcPr>
          <w:p>
            <w:pPr>
              <w:pStyle w:val="Normal"/>
              <w:jc w:val="center"/>
              <w:rPr>
                <w:rFonts w:ascii="Calibri" w:hAnsi="Calibri" w:cs="Calibri" w:asciiTheme="minorHAnsi" w:cstheme="minorHAnsi" w:hAnsiTheme="minorHAnsi"/>
                <w:i/>
                <w:i/>
                <w:sz w:val="22"/>
                <w:szCs w:val="22"/>
              </w:rPr>
            </w:pPr>
            <w:r>
              <w:rPr>
                <w:rFonts w:cs="Calibri" w:cstheme="minorHAnsi" w:ascii="Calibri" w:hAnsi="Calibri"/>
                <w:i/>
                <w:sz w:val="22"/>
                <w:szCs w:val="22"/>
              </w:rPr>
            </w:r>
          </w:p>
        </w:tc>
        <w:tc>
          <w:tcPr>
            <w:tcW w:w="850" w:type="dxa"/>
            <w:vMerge w:val="continue"/>
            <w:tcBorders>
              <w:top w:val="single" w:sz="6" w:space="0" w:color="00000A"/>
              <w:left w:val="single" w:sz="6" w:space="0" w:color="00000A"/>
              <w:bottom w:val="single" w:sz="6" w:space="0" w:color="00000A"/>
              <w:right w:val="single" w:sz="2" w:space="0" w:color="00000A"/>
              <w:insideH w:val="single" w:sz="6" w:space="0" w:color="00000A"/>
              <w:insideV w:val="single" w:sz="2" w:space="0" w:color="00000A"/>
            </w:tcBorders>
            <w:shd w:fill="auto" w:val="clear"/>
            <w:tcMar>
              <w:left w:w="14" w:type="dxa"/>
            </w:tcMar>
            <w:vAlign w:val="center"/>
          </w:tcPr>
          <w:p>
            <w:pPr>
              <w:pStyle w:val="Normal"/>
              <w:jc w:val="center"/>
              <w:rPr>
                <w:rFonts w:ascii="Calibri" w:hAnsi="Calibri" w:cs="Calibri" w:asciiTheme="minorHAnsi" w:cstheme="minorHAnsi" w:hAnsiTheme="minorHAnsi"/>
                <w:i/>
                <w:i/>
                <w:sz w:val="22"/>
                <w:szCs w:val="22"/>
              </w:rPr>
            </w:pPr>
            <w:r>
              <w:rPr>
                <w:rFonts w:cs="Calibri" w:cstheme="minorHAnsi" w:ascii="Calibri" w:hAnsi="Calibri"/>
                <w:i/>
                <w:sz w:val="22"/>
                <w:szCs w:val="22"/>
              </w:rPr>
            </w:r>
          </w:p>
        </w:tc>
        <w:tc>
          <w:tcPr>
            <w:tcW w:w="992" w:type="dxa"/>
            <w:tcBorders>
              <w:top w:val="single" w:sz="2" w:space="0" w:color="00000A"/>
              <w:left w:val="single" w:sz="2" w:space="0" w:color="00000A"/>
              <w:bottom w:val="single" w:sz="6" w:space="0" w:color="00000A"/>
              <w:right w:val="single" w:sz="6" w:space="0" w:color="00000A"/>
              <w:insideH w:val="single" w:sz="6" w:space="0" w:color="00000A"/>
              <w:insideV w:val="single" w:sz="6" w:space="0" w:color="00000A"/>
            </w:tcBorders>
            <w:shd w:fill="auto" w:val="clear"/>
            <w:tcMar>
              <w:left w:w="24" w:type="dxa"/>
            </w:tcMar>
            <w:vAlign w:val="center"/>
          </w:tcPr>
          <w:p>
            <w:pPr>
              <w:pStyle w:val="Normal"/>
              <w:jc w:val="center"/>
              <w:rPr>
                <w:rFonts w:ascii="Calibri" w:hAnsi="Calibri" w:cs="Calibri" w:asciiTheme="minorHAnsi" w:cstheme="minorHAnsi" w:hAnsiTheme="minorHAnsi"/>
                <w:i/>
                <w:i/>
                <w:sz w:val="22"/>
                <w:szCs w:val="22"/>
              </w:rPr>
            </w:pPr>
            <w:r>
              <w:rPr>
                <w:rFonts w:cs="Calibri" w:cstheme="minorHAnsi" w:ascii="Calibri" w:hAnsi="Calibri"/>
                <w:i/>
                <w:sz w:val="22"/>
                <w:szCs w:val="22"/>
              </w:rPr>
            </w:r>
          </w:p>
        </w:tc>
        <w:tc>
          <w:tcPr>
            <w:tcW w:w="851" w:type="dxa"/>
            <w:vMerge w:val="continue"/>
            <w:tcBorders>
              <w:top w:val="single" w:sz="6" w:space="0" w:color="00000A"/>
              <w:left w:val="single" w:sz="2" w:space="0" w:color="00000A"/>
              <w:bottom w:val="single" w:sz="6" w:space="0" w:color="00000A"/>
              <w:right w:val="single" w:sz="2" w:space="0" w:color="00000A"/>
              <w:insideH w:val="single" w:sz="6" w:space="0" w:color="00000A"/>
              <w:insideV w:val="single" w:sz="2" w:space="0" w:color="00000A"/>
            </w:tcBorders>
            <w:shd w:fill="auto" w:val="clear"/>
            <w:tcMar>
              <w:left w:w="26" w:type="dxa"/>
            </w:tcMar>
            <w:vAlign w:val="center"/>
          </w:tcPr>
          <w:p>
            <w:pPr>
              <w:pStyle w:val="Normal"/>
              <w:jc w:val="center"/>
              <w:rPr>
                <w:rFonts w:ascii="Calibri" w:hAnsi="Calibri" w:cs="Calibri" w:asciiTheme="minorHAnsi" w:cstheme="minorHAnsi" w:hAnsiTheme="minorHAnsi"/>
                <w:i/>
                <w:i/>
                <w:sz w:val="22"/>
                <w:szCs w:val="22"/>
              </w:rPr>
            </w:pPr>
            <w:r>
              <w:rPr>
                <w:rFonts w:cs="Calibri" w:cstheme="minorHAnsi" w:ascii="Calibri" w:hAnsi="Calibri"/>
                <w:i/>
                <w:sz w:val="22"/>
                <w:szCs w:val="22"/>
              </w:rPr>
            </w:r>
          </w:p>
        </w:tc>
        <w:tc>
          <w:tcPr>
            <w:tcW w:w="992" w:type="dxa"/>
            <w:tcBorders>
              <w:top w:val="single" w:sz="2" w:space="0" w:color="00000A"/>
              <w:left w:val="single" w:sz="2" w:space="0" w:color="00000A"/>
              <w:bottom w:val="single" w:sz="6" w:space="0" w:color="00000A"/>
              <w:right w:val="single" w:sz="6" w:space="0" w:color="00000A"/>
              <w:insideH w:val="single" w:sz="6" w:space="0" w:color="00000A"/>
              <w:insideV w:val="single" w:sz="6" w:space="0" w:color="00000A"/>
            </w:tcBorders>
            <w:shd w:fill="auto" w:val="clear"/>
            <w:tcMar>
              <w:left w:w="24" w:type="dxa"/>
            </w:tcMar>
            <w:vAlign w:val="center"/>
          </w:tcPr>
          <w:p>
            <w:pPr>
              <w:pStyle w:val="Normal"/>
              <w:jc w:val="center"/>
              <w:rPr>
                <w:rFonts w:ascii="Calibri" w:hAnsi="Calibri" w:cs="Calibri" w:asciiTheme="minorHAnsi" w:cstheme="minorHAnsi" w:hAnsiTheme="minorHAnsi"/>
                <w:i/>
                <w:i/>
                <w:sz w:val="22"/>
                <w:szCs w:val="22"/>
              </w:rPr>
            </w:pPr>
            <w:r>
              <w:rPr>
                <w:rFonts w:cs="Calibri" w:cstheme="minorHAnsi" w:ascii="Calibri" w:hAnsi="Calibri"/>
                <w:i/>
                <w:sz w:val="22"/>
                <w:szCs w:val="22"/>
              </w:rPr>
            </w:r>
          </w:p>
        </w:tc>
        <w:tc>
          <w:tcPr>
            <w:tcW w:w="851" w:type="dxa"/>
            <w:vMerge w:val="continue"/>
            <w:tcBorders>
              <w:top w:val="single" w:sz="6" w:space="0" w:color="00000A"/>
              <w:left w:val="single" w:sz="2" w:space="0" w:color="00000A"/>
              <w:bottom w:val="single" w:sz="6" w:space="0" w:color="00000A"/>
              <w:right w:val="single" w:sz="6" w:space="0" w:color="00000A"/>
              <w:insideH w:val="single" w:sz="6" w:space="0" w:color="00000A"/>
              <w:insideV w:val="single" w:sz="6" w:space="0" w:color="00000A"/>
            </w:tcBorders>
            <w:shd w:fill="auto" w:val="clear"/>
            <w:tcMar>
              <w:left w:w="24" w:type="dxa"/>
            </w:tcMar>
            <w:vAlign w:val="center"/>
          </w:tcPr>
          <w:p>
            <w:pPr>
              <w:pStyle w:val="Normal"/>
              <w:jc w:val="center"/>
              <w:rPr>
                <w:rFonts w:ascii="Calibri" w:hAnsi="Calibri" w:cs="Calibri" w:asciiTheme="minorHAnsi" w:cstheme="minorHAnsi" w:hAnsiTheme="minorHAnsi"/>
                <w:i/>
                <w:i/>
                <w:sz w:val="22"/>
                <w:szCs w:val="22"/>
              </w:rPr>
            </w:pPr>
            <w:r>
              <w:rPr>
                <w:rFonts w:cs="Calibri" w:cstheme="minorHAnsi" w:ascii="Calibri" w:hAnsi="Calibri"/>
                <w:i/>
                <w:sz w:val="22"/>
                <w:szCs w:val="22"/>
              </w:rPr>
            </w:r>
          </w:p>
        </w:tc>
        <w:tc>
          <w:tcPr>
            <w:tcW w:w="988" w:type="dxa"/>
            <w:tcBorders>
              <w:top w:val="single" w:sz="2" w:space="0" w:color="00000A"/>
              <w:left w:val="single" w:sz="2" w:space="0" w:color="00000A"/>
              <w:bottom w:val="single" w:sz="6" w:space="0" w:color="00000A"/>
              <w:right w:val="single" w:sz="6" w:space="0" w:color="00000A"/>
              <w:insideH w:val="single" w:sz="6" w:space="0" w:color="00000A"/>
              <w:insideV w:val="single" w:sz="6" w:space="0" w:color="00000A"/>
            </w:tcBorders>
            <w:shd w:fill="auto" w:val="clear"/>
            <w:tcMar>
              <w:left w:w="24" w:type="dxa"/>
            </w:tcMar>
            <w:vAlign w:val="center"/>
          </w:tcPr>
          <w:p>
            <w:pPr>
              <w:pStyle w:val="Normal"/>
              <w:jc w:val="center"/>
              <w:rPr>
                <w:rFonts w:ascii="Calibri" w:hAnsi="Calibri" w:cs="Calibri" w:asciiTheme="minorHAnsi" w:cstheme="minorHAnsi" w:hAnsiTheme="minorHAnsi"/>
                <w:i/>
                <w:i/>
                <w:sz w:val="22"/>
                <w:szCs w:val="22"/>
              </w:rPr>
            </w:pPr>
            <w:r>
              <w:rPr>
                <w:rFonts w:cs="Calibri" w:cstheme="minorHAnsi" w:ascii="Calibri" w:hAnsi="Calibri"/>
                <w:i/>
                <w:sz w:val="22"/>
                <w:szCs w:val="22"/>
              </w:rPr>
            </w:r>
          </w:p>
        </w:tc>
      </w:tr>
      <w:tr>
        <w:trPr>
          <w:trHeight w:val="186" w:hRule="atLeast"/>
          <w:cantSplit w:val="true"/>
        </w:trPr>
        <w:tc>
          <w:tcPr>
            <w:tcW w:w="776" w:type="dxa"/>
            <w:vMerge w:val="restart"/>
            <w:tcBorders>
              <w:top w:val="single" w:sz="12" w:space="0" w:color="00000A"/>
              <w:left w:val="single" w:sz="12" w:space="0" w:color="00000A"/>
              <w:right w:val="single" w:sz="2" w:space="0" w:color="00000A"/>
              <w:insideV w:val="single" w:sz="2" w:space="0" w:color="00000A"/>
            </w:tcBorders>
            <w:shd w:fill="auto" w:val="clear"/>
            <w:tcMar>
              <w:left w:w="0" w:type="dxa"/>
            </w:tcMar>
            <w:vAlign w:val="center"/>
          </w:tcPr>
          <w:p>
            <w:pPr>
              <w:pStyle w:val="Nadpis3"/>
              <w:rPr>
                <w:rFonts w:ascii="Calibri" w:hAnsi="Calibri" w:cs="Calibri" w:asciiTheme="minorHAnsi" w:cstheme="minorHAnsi" w:hAnsiTheme="minorHAnsi"/>
                <w:i/>
                <w:i/>
                <w:sz w:val="22"/>
                <w:szCs w:val="22"/>
              </w:rPr>
            </w:pPr>
            <w:r>
              <w:rPr>
                <w:rFonts w:cs="Calibri" w:ascii="Calibri" w:hAnsi="Calibri" w:asciiTheme="minorHAnsi" w:cstheme="minorHAnsi" w:hAnsiTheme="minorHAnsi"/>
                <w:i/>
                <w:sz w:val="22"/>
                <w:szCs w:val="22"/>
              </w:rPr>
              <w:t>Celkem</w:t>
            </w:r>
          </w:p>
        </w:tc>
        <w:tc>
          <w:tcPr>
            <w:tcW w:w="851" w:type="dxa"/>
            <w:vMerge w:val="restart"/>
            <w:tcBorders>
              <w:top w:val="single" w:sz="12" w:space="0" w:color="00000A"/>
              <w:left w:val="single" w:sz="2" w:space="0" w:color="00000A"/>
              <w:right w:val="single" w:sz="2" w:space="0" w:color="00000A"/>
              <w:insideV w:val="single" w:sz="2" w:space="0" w:color="00000A"/>
            </w:tcBorders>
            <w:shd w:fill="auto" w:val="clear"/>
            <w:tcMar>
              <w:left w:w="24" w:type="dxa"/>
            </w:tcMar>
            <w:vAlign w:val="center"/>
          </w:tcPr>
          <w:p>
            <w:pPr>
              <w:pStyle w:val="Normal"/>
              <w:jc w:val="center"/>
              <w:rPr>
                <w:rFonts w:ascii="Calibri" w:hAnsi="Calibri" w:cs="Calibri" w:asciiTheme="minorHAnsi" w:cstheme="minorHAnsi" w:hAnsiTheme="minorHAnsi"/>
                <w:b/>
                <w:b/>
                <w:i/>
                <w:i/>
                <w:sz w:val="22"/>
                <w:szCs w:val="22"/>
              </w:rPr>
            </w:pPr>
            <w:r>
              <w:rPr>
                <w:rFonts w:cs="Calibri" w:ascii="Calibri" w:hAnsi="Calibri" w:asciiTheme="minorHAnsi" w:cstheme="minorHAnsi" w:hAnsiTheme="minorHAnsi"/>
                <w:b/>
                <w:i/>
                <w:sz w:val="22"/>
                <w:szCs w:val="22"/>
              </w:rPr>
              <w:t>3 800</w:t>
            </w:r>
          </w:p>
        </w:tc>
        <w:tc>
          <w:tcPr>
            <w:tcW w:w="955" w:type="dxa"/>
            <w:tcBorders>
              <w:top w:val="single" w:sz="12" w:space="0" w:color="00000A"/>
              <w:left w:val="single" w:sz="2" w:space="0" w:color="00000A"/>
              <w:bottom w:val="single" w:sz="2" w:space="0" w:color="00000A"/>
              <w:right w:val="single" w:sz="6" w:space="0" w:color="00000A"/>
              <w:insideH w:val="single" w:sz="2" w:space="0" w:color="00000A"/>
              <w:insideV w:val="single" w:sz="6" w:space="0" w:color="00000A"/>
            </w:tcBorders>
            <w:shd w:fill="auto" w:val="clear"/>
            <w:tcMar>
              <w:left w:w="24" w:type="dxa"/>
            </w:tcMar>
            <w:vAlign w:val="center"/>
          </w:tcPr>
          <w:p>
            <w:pPr>
              <w:pStyle w:val="Normal"/>
              <w:jc w:val="center"/>
              <w:rPr>
                <w:rFonts w:ascii="Calibri" w:hAnsi="Calibri" w:cs="Calibri" w:asciiTheme="minorHAnsi" w:cstheme="minorHAnsi" w:hAnsiTheme="minorHAnsi"/>
                <w:b/>
                <w:b/>
                <w:i/>
                <w:i/>
                <w:sz w:val="22"/>
                <w:szCs w:val="22"/>
              </w:rPr>
            </w:pPr>
            <w:r>
              <w:rPr>
                <w:rFonts w:cs="Calibri" w:ascii="Calibri" w:hAnsi="Calibri" w:asciiTheme="minorHAnsi" w:cstheme="minorHAnsi" w:hAnsiTheme="minorHAnsi"/>
                <w:b/>
                <w:i/>
                <w:sz w:val="22"/>
                <w:szCs w:val="22"/>
              </w:rPr>
              <w:t>3 800</w:t>
            </w:r>
          </w:p>
        </w:tc>
        <w:tc>
          <w:tcPr>
            <w:tcW w:w="850" w:type="dxa"/>
            <w:vMerge w:val="restart"/>
            <w:tcBorders>
              <w:top w:val="single" w:sz="12" w:space="0" w:color="00000A"/>
              <w:left w:val="single" w:sz="2" w:space="0" w:color="00000A"/>
              <w:right w:val="single" w:sz="2" w:space="0" w:color="00000A"/>
              <w:insideV w:val="single" w:sz="2" w:space="0" w:color="00000A"/>
            </w:tcBorders>
            <w:shd w:fill="auto" w:val="clear"/>
            <w:tcMar>
              <w:left w:w="26" w:type="dxa"/>
            </w:tcMar>
            <w:vAlign w:val="center"/>
          </w:tcPr>
          <w:p>
            <w:pPr>
              <w:pStyle w:val="Normal"/>
              <w:jc w:val="center"/>
              <w:rPr>
                <w:rFonts w:ascii="Calibri" w:hAnsi="Calibri" w:cs="Calibri" w:asciiTheme="minorHAnsi" w:cstheme="minorHAnsi" w:hAnsiTheme="minorHAnsi"/>
                <w:b/>
                <w:b/>
                <w:i/>
                <w:i/>
                <w:sz w:val="22"/>
                <w:szCs w:val="22"/>
              </w:rPr>
            </w:pPr>
            <w:r>
              <w:rPr>
                <w:rFonts w:cs="Calibri" w:ascii="Calibri" w:hAnsi="Calibri" w:asciiTheme="minorHAnsi" w:cstheme="minorHAnsi" w:hAnsiTheme="minorHAnsi"/>
                <w:b/>
                <w:i/>
                <w:sz w:val="22"/>
                <w:szCs w:val="22"/>
              </w:rPr>
              <w:t>2 300</w:t>
            </w:r>
          </w:p>
        </w:tc>
        <w:tc>
          <w:tcPr>
            <w:tcW w:w="995" w:type="dxa"/>
            <w:tcBorders>
              <w:top w:val="single" w:sz="12" w:space="0" w:color="00000A"/>
              <w:left w:val="single" w:sz="2" w:space="0" w:color="00000A"/>
              <w:bottom w:val="single" w:sz="2" w:space="0" w:color="00000A"/>
              <w:right w:val="single" w:sz="2" w:space="0" w:color="00000A"/>
              <w:insideH w:val="single" w:sz="2" w:space="0" w:color="00000A"/>
              <w:insideV w:val="single" w:sz="2" w:space="0" w:color="00000A"/>
            </w:tcBorders>
            <w:shd w:fill="auto" w:val="clear"/>
            <w:tcMar>
              <w:left w:w="24" w:type="dxa"/>
            </w:tcMar>
            <w:vAlign w:val="center"/>
          </w:tcPr>
          <w:p>
            <w:pPr>
              <w:pStyle w:val="Normal"/>
              <w:jc w:val="center"/>
              <w:rPr>
                <w:rFonts w:ascii="Calibri" w:hAnsi="Calibri" w:cs="Calibri" w:asciiTheme="minorHAnsi" w:cstheme="minorHAnsi" w:hAnsiTheme="minorHAnsi"/>
                <w:b/>
                <w:b/>
                <w:i/>
                <w:i/>
                <w:sz w:val="22"/>
                <w:szCs w:val="22"/>
              </w:rPr>
            </w:pPr>
            <w:r>
              <w:rPr>
                <w:rFonts w:cs="Calibri" w:ascii="Calibri" w:hAnsi="Calibri" w:asciiTheme="minorHAnsi" w:cstheme="minorHAnsi" w:hAnsiTheme="minorHAnsi"/>
                <w:b/>
                <w:i/>
                <w:sz w:val="22"/>
                <w:szCs w:val="22"/>
              </w:rPr>
              <w:t>2 300</w:t>
            </w:r>
          </w:p>
        </w:tc>
        <w:tc>
          <w:tcPr>
            <w:tcW w:w="850" w:type="dxa"/>
            <w:vMerge w:val="restart"/>
            <w:tcBorders>
              <w:top w:val="single" w:sz="12" w:space="0" w:color="00000A"/>
              <w:left w:val="single" w:sz="6" w:space="0" w:color="00000A"/>
              <w:right w:val="single" w:sz="2" w:space="0" w:color="00000A"/>
              <w:insideV w:val="single" w:sz="2" w:space="0" w:color="00000A"/>
            </w:tcBorders>
            <w:shd w:fill="auto" w:val="clear"/>
            <w:tcMar>
              <w:left w:w="14" w:type="dxa"/>
            </w:tcMar>
            <w:vAlign w:val="center"/>
          </w:tcPr>
          <w:p>
            <w:pPr>
              <w:pStyle w:val="Normal"/>
              <w:jc w:val="center"/>
              <w:rPr>
                <w:rFonts w:ascii="Calibri" w:hAnsi="Calibri" w:cs="Calibri" w:asciiTheme="minorHAnsi" w:cstheme="minorHAnsi" w:hAnsiTheme="minorHAnsi"/>
                <w:b/>
                <w:b/>
                <w:i/>
                <w:i/>
                <w:sz w:val="22"/>
                <w:szCs w:val="22"/>
              </w:rPr>
            </w:pPr>
            <w:r>
              <w:rPr>
                <w:rFonts w:cs="Calibri" w:ascii="Calibri" w:hAnsi="Calibri" w:asciiTheme="minorHAnsi" w:cstheme="minorHAnsi" w:hAnsiTheme="minorHAnsi"/>
                <w:b/>
                <w:i/>
                <w:sz w:val="22"/>
                <w:szCs w:val="22"/>
              </w:rPr>
              <w:t>1 800</w:t>
            </w:r>
          </w:p>
        </w:tc>
        <w:tc>
          <w:tcPr>
            <w:tcW w:w="992" w:type="dxa"/>
            <w:tcBorders>
              <w:top w:val="single" w:sz="12" w:space="0" w:color="00000A"/>
              <w:left w:val="single" w:sz="2" w:space="0" w:color="00000A"/>
              <w:bottom w:val="single" w:sz="2" w:space="0" w:color="00000A"/>
              <w:right w:val="single" w:sz="6" w:space="0" w:color="00000A"/>
              <w:insideH w:val="single" w:sz="2" w:space="0" w:color="00000A"/>
              <w:insideV w:val="single" w:sz="6" w:space="0" w:color="00000A"/>
            </w:tcBorders>
            <w:shd w:fill="auto" w:val="clear"/>
            <w:tcMar>
              <w:left w:w="24" w:type="dxa"/>
            </w:tcMar>
            <w:vAlign w:val="center"/>
          </w:tcPr>
          <w:p>
            <w:pPr>
              <w:pStyle w:val="Normal"/>
              <w:jc w:val="center"/>
              <w:rPr>
                <w:rFonts w:ascii="Calibri" w:hAnsi="Calibri" w:cs="Calibri" w:asciiTheme="minorHAnsi" w:cstheme="minorHAnsi" w:hAnsiTheme="minorHAnsi"/>
                <w:b/>
                <w:b/>
                <w:i/>
                <w:i/>
                <w:sz w:val="22"/>
                <w:szCs w:val="22"/>
              </w:rPr>
            </w:pPr>
            <w:r>
              <w:rPr>
                <w:rFonts w:cs="Calibri" w:ascii="Calibri" w:hAnsi="Calibri" w:asciiTheme="minorHAnsi" w:cstheme="minorHAnsi" w:hAnsiTheme="minorHAnsi"/>
                <w:b/>
                <w:i/>
                <w:sz w:val="22"/>
                <w:szCs w:val="22"/>
              </w:rPr>
              <w:t>1 800</w:t>
            </w:r>
          </w:p>
        </w:tc>
        <w:tc>
          <w:tcPr>
            <w:tcW w:w="851" w:type="dxa"/>
            <w:vMerge w:val="restart"/>
            <w:tcBorders>
              <w:top w:val="single" w:sz="12" w:space="0" w:color="00000A"/>
              <w:left w:val="single" w:sz="2" w:space="0" w:color="00000A"/>
              <w:right w:val="single" w:sz="2" w:space="0" w:color="00000A"/>
              <w:insideV w:val="single" w:sz="2" w:space="0" w:color="00000A"/>
            </w:tcBorders>
            <w:shd w:fill="auto" w:val="clear"/>
            <w:tcMar>
              <w:left w:w="26" w:type="dxa"/>
            </w:tcMar>
            <w:vAlign w:val="center"/>
          </w:tcPr>
          <w:p>
            <w:pPr>
              <w:pStyle w:val="Normal"/>
              <w:jc w:val="center"/>
              <w:rPr>
                <w:rFonts w:ascii="Calibri" w:hAnsi="Calibri" w:cs="Calibri" w:asciiTheme="minorHAnsi" w:cstheme="minorHAnsi" w:hAnsiTheme="minorHAnsi"/>
                <w:b/>
                <w:b/>
                <w:i/>
                <w:i/>
                <w:sz w:val="22"/>
                <w:szCs w:val="22"/>
              </w:rPr>
            </w:pPr>
            <w:r>
              <w:rPr>
                <w:rFonts w:cs="Calibri" w:ascii="Calibri" w:hAnsi="Calibri" w:asciiTheme="minorHAnsi" w:cstheme="minorHAnsi" w:hAnsiTheme="minorHAnsi"/>
                <w:b/>
                <w:i/>
                <w:sz w:val="22"/>
                <w:szCs w:val="22"/>
              </w:rPr>
              <w:t>3 600</w:t>
            </w:r>
          </w:p>
        </w:tc>
        <w:tc>
          <w:tcPr>
            <w:tcW w:w="992" w:type="dxa"/>
            <w:tcBorders>
              <w:top w:val="single" w:sz="12" w:space="0" w:color="00000A"/>
              <w:left w:val="single" w:sz="2" w:space="0" w:color="00000A"/>
              <w:bottom w:val="single" w:sz="2" w:space="0" w:color="00000A"/>
              <w:right w:val="single" w:sz="6" w:space="0" w:color="00000A"/>
              <w:insideH w:val="single" w:sz="2" w:space="0" w:color="00000A"/>
              <w:insideV w:val="single" w:sz="6" w:space="0" w:color="00000A"/>
            </w:tcBorders>
            <w:shd w:fill="auto" w:val="clear"/>
            <w:tcMar>
              <w:left w:w="24" w:type="dxa"/>
            </w:tcMar>
            <w:vAlign w:val="center"/>
          </w:tcPr>
          <w:p>
            <w:pPr>
              <w:pStyle w:val="Normal"/>
              <w:jc w:val="center"/>
              <w:rPr>
                <w:rFonts w:ascii="Calibri" w:hAnsi="Calibri" w:cs="Calibri" w:asciiTheme="minorHAnsi" w:cstheme="minorHAnsi" w:hAnsiTheme="minorHAnsi"/>
                <w:b/>
                <w:b/>
                <w:i/>
                <w:i/>
                <w:sz w:val="22"/>
                <w:szCs w:val="22"/>
              </w:rPr>
            </w:pPr>
            <w:r>
              <w:rPr>
                <w:rFonts w:cs="Calibri" w:ascii="Calibri" w:hAnsi="Calibri" w:asciiTheme="minorHAnsi" w:cstheme="minorHAnsi" w:hAnsiTheme="minorHAnsi"/>
                <w:b/>
                <w:i/>
                <w:sz w:val="22"/>
                <w:szCs w:val="22"/>
              </w:rPr>
              <w:t>3 600</w:t>
            </w:r>
          </w:p>
        </w:tc>
        <w:tc>
          <w:tcPr>
            <w:tcW w:w="851" w:type="dxa"/>
            <w:vMerge w:val="restart"/>
            <w:tcBorders>
              <w:top w:val="single" w:sz="12" w:space="0" w:color="00000A"/>
              <w:left w:val="single" w:sz="2" w:space="0" w:color="00000A"/>
              <w:right w:val="single" w:sz="6" w:space="0" w:color="00000A"/>
              <w:insideV w:val="single" w:sz="6" w:space="0" w:color="00000A"/>
            </w:tcBorders>
            <w:shd w:fill="auto" w:val="clear"/>
            <w:tcMar>
              <w:left w:w="24" w:type="dxa"/>
            </w:tcMar>
            <w:vAlign w:val="center"/>
          </w:tcPr>
          <w:p>
            <w:pPr>
              <w:pStyle w:val="Normal"/>
              <w:jc w:val="center"/>
              <w:rPr>
                <w:rFonts w:ascii="Calibri" w:hAnsi="Calibri" w:cs="Calibri" w:asciiTheme="minorHAnsi" w:cstheme="minorHAnsi" w:hAnsiTheme="minorHAnsi"/>
                <w:b/>
                <w:b/>
                <w:i/>
                <w:i/>
                <w:sz w:val="22"/>
                <w:szCs w:val="22"/>
              </w:rPr>
            </w:pPr>
            <w:r>
              <w:rPr>
                <w:rFonts w:cs="Calibri" w:ascii="Calibri" w:hAnsi="Calibri" w:asciiTheme="minorHAnsi" w:cstheme="minorHAnsi" w:hAnsiTheme="minorHAnsi"/>
                <w:b/>
                <w:i/>
                <w:sz w:val="22"/>
                <w:szCs w:val="22"/>
              </w:rPr>
              <w:t>11 500</w:t>
            </w:r>
          </w:p>
        </w:tc>
        <w:tc>
          <w:tcPr>
            <w:tcW w:w="988" w:type="dxa"/>
            <w:tcBorders>
              <w:top w:val="single" w:sz="12" w:space="0" w:color="00000A"/>
              <w:left w:val="single" w:sz="2" w:space="0" w:color="00000A"/>
              <w:bottom w:val="single" w:sz="2" w:space="0" w:color="00000A"/>
              <w:right w:val="single" w:sz="6" w:space="0" w:color="00000A"/>
              <w:insideH w:val="single" w:sz="2" w:space="0" w:color="00000A"/>
              <w:insideV w:val="single" w:sz="6" w:space="0" w:color="00000A"/>
            </w:tcBorders>
            <w:shd w:fill="auto" w:val="clear"/>
            <w:tcMar>
              <w:left w:w="24" w:type="dxa"/>
            </w:tcMar>
            <w:vAlign w:val="center"/>
          </w:tcPr>
          <w:p>
            <w:pPr>
              <w:pStyle w:val="Normal"/>
              <w:jc w:val="center"/>
              <w:rPr>
                <w:rFonts w:ascii="Calibri" w:hAnsi="Calibri" w:cs="Calibri" w:asciiTheme="minorHAnsi" w:cstheme="minorHAnsi" w:hAnsiTheme="minorHAnsi"/>
                <w:b/>
                <w:b/>
                <w:i/>
                <w:i/>
                <w:sz w:val="22"/>
                <w:szCs w:val="22"/>
              </w:rPr>
            </w:pPr>
            <w:r>
              <w:rPr>
                <w:rFonts w:cs="Calibri" w:ascii="Calibri" w:hAnsi="Calibri" w:asciiTheme="minorHAnsi" w:cstheme="minorHAnsi" w:hAnsiTheme="minorHAnsi"/>
                <w:b/>
                <w:i/>
                <w:sz w:val="22"/>
                <w:szCs w:val="22"/>
              </w:rPr>
              <w:t>11 500</w:t>
            </w:r>
          </w:p>
        </w:tc>
      </w:tr>
      <w:tr>
        <w:trPr>
          <w:trHeight w:val="233" w:hRule="atLeast"/>
          <w:cantSplit w:val="true"/>
        </w:trPr>
        <w:tc>
          <w:tcPr>
            <w:tcW w:w="776" w:type="dxa"/>
            <w:vMerge w:val="continue"/>
            <w:tcBorders>
              <w:top w:val="single" w:sz="12" w:space="0" w:color="00000A"/>
              <w:left w:val="single" w:sz="12" w:space="0" w:color="00000A"/>
              <w:bottom w:val="single" w:sz="12" w:space="0" w:color="00000A"/>
              <w:right w:val="single" w:sz="2" w:space="0" w:color="00000A"/>
              <w:insideH w:val="single" w:sz="12" w:space="0" w:color="00000A"/>
              <w:insideV w:val="single" w:sz="2" w:space="0" w:color="00000A"/>
            </w:tcBorders>
            <w:shd w:fill="auto" w:val="clear"/>
            <w:tcMar>
              <w:left w:w="0" w:type="dxa"/>
            </w:tcMar>
            <w:vAlign w:val="center"/>
          </w:tcPr>
          <w:p>
            <w:pPr>
              <w:pStyle w:val="Normal"/>
              <w:jc w:val="center"/>
              <w:rPr>
                <w:rFonts w:ascii="Calibri" w:hAnsi="Calibri" w:cs="Calibri" w:asciiTheme="minorHAnsi" w:cstheme="minorHAnsi" w:hAnsiTheme="minorHAnsi"/>
                <w:i/>
                <w:i/>
                <w:sz w:val="22"/>
                <w:szCs w:val="22"/>
              </w:rPr>
            </w:pPr>
            <w:r>
              <w:rPr>
                <w:rFonts w:cs="Calibri" w:cstheme="minorHAnsi" w:ascii="Calibri" w:hAnsi="Calibri"/>
                <w:i/>
                <w:sz w:val="22"/>
                <w:szCs w:val="22"/>
              </w:rPr>
            </w:r>
          </w:p>
        </w:tc>
        <w:tc>
          <w:tcPr>
            <w:tcW w:w="851" w:type="dxa"/>
            <w:vMerge w:val="continue"/>
            <w:tcBorders>
              <w:top w:val="single" w:sz="12" w:space="0" w:color="00000A"/>
              <w:left w:val="single" w:sz="2" w:space="0" w:color="00000A"/>
              <w:bottom w:val="single" w:sz="12" w:space="0" w:color="00000A"/>
              <w:right w:val="single" w:sz="2" w:space="0" w:color="00000A"/>
              <w:insideH w:val="single" w:sz="12" w:space="0" w:color="00000A"/>
              <w:insideV w:val="single" w:sz="2" w:space="0" w:color="00000A"/>
            </w:tcBorders>
            <w:shd w:fill="auto" w:val="clear"/>
            <w:tcMar>
              <w:left w:w="24" w:type="dxa"/>
            </w:tcMar>
            <w:vAlign w:val="center"/>
          </w:tcPr>
          <w:p>
            <w:pPr>
              <w:pStyle w:val="Normal"/>
              <w:jc w:val="center"/>
              <w:rPr>
                <w:rFonts w:ascii="Calibri" w:hAnsi="Calibri" w:cs="Calibri" w:asciiTheme="minorHAnsi" w:cstheme="minorHAnsi" w:hAnsiTheme="minorHAnsi"/>
                <w:b/>
                <w:b/>
                <w:i/>
                <w:i/>
                <w:sz w:val="22"/>
                <w:szCs w:val="22"/>
              </w:rPr>
            </w:pPr>
            <w:r>
              <w:rPr>
                <w:rFonts w:cs="Calibri" w:cstheme="minorHAnsi" w:ascii="Calibri" w:hAnsi="Calibri"/>
                <w:b/>
                <w:i/>
                <w:sz w:val="22"/>
                <w:szCs w:val="22"/>
              </w:rPr>
            </w:r>
          </w:p>
        </w:tc>
        <w:tc>
          <w:tcPr>
            <w:tcW w:w="955" w:type="dxa"/>
            <w:tcBorders>
              <w:top w:val="single" w:sz="2" w:space="0" w:color="00000A"/>
              <w:left w:val="single" w:sz="2" w:space="0" w:color="00000A"/>
              <w:bottom w:val="single" w:sz="12" w:space="0" w:color="00000A"/>
              <w:right w:val="single" w:sz="6" w:space="0" w:color="00000A"/>
              <w:insideH w:val="single" w:sz="12" w:space="0" w:color="00000A"/>
              <w:insideV w:val="single" w:sz="6" w:space="0" w:color="00000A"/>
            </w:tcBorders>
            <w:shd w:fill="auto" w:val="clear"/>
            <w:tcMar>
              <w:left w:w="24" w:type="dxa"/>
            </w:tcMar>
            <w:vAlign w:val="center"/>
          </w:tcPr>
          <w:p>
            <w:pPr>
              <w:pStyle w:val="Normal"/>
              <w:jc w:val="center"/>
              <w:rPr>
                <w:rFonts w:ascii="Calibri" w:hAnsi="Calibri" w:cs="Calibri" w:asciiTheme="minorHAnsi" w:cstheme="minorHAnsi" w:hAnsiTheme="minorHAnsi"/>
                <w:b/>
                <w:b/>
                <w:i/>
                <w:i/>
                <w:sz w:val="22"/>
                <w:szCs w:val="22"/>
              </w:rPr>
            </w:pPr>
            <w:r>
              <w:rPr>
                <w:rFonts w:cs="Calibri" w:cstheme="minorHAnsi" w:ascii="Calibri" w:hAnsi="Calibri"/>
                <w:b/>
                <w:i/>
                <w:sz w:val="22"/>
                <w:szCs w:val="22"/>
              </w:rPr>
            </w:r>
          </w:p>
        </w:tc>
        <w:tc>
          <w:tcPr>
            <w:tcW w:w="850" w:type="dxa"/>
            <w:vMerge w:val="continue"/>
            <w:tcBorders>
              <w:top w:val="single" w:sz="12" w:space="0" w:color="00000A"/>
              <w:left w:val="single" w:sz="2" w:space="0" w:color="00000A"/>
              <w:bottom w:val="single" w:sz="12" w:space="0" w:color="00000A"/>
              <w:right w:val="single" w:sz="2" w:space="0" w:color="00000A"/>
              <w:insideH w:val="single" w:sz="12" w:space="0" w:color="00000A"/>
              <w:insideV w:val="single" w:sz="2" w:space="0" w:color="00000A"/>
            </w:tcBorders>
            <w:shd w:fill="auto" w:val="clear"/>
            <w:tcMar>
              <w:left w:w="26" w:type="dxa"/>
            </w:tcMar>
            <w:vAlign w:val="center"/>
          </w:tcPr>
          <w:p>
            <w:pPr>
              <w:pStyle w:val="Normal"/>
              <w:jc w:val="center"/>
              <w:rPr>
                <w:rFonts w:ascii="Calibri" w:hAnsi="Calibri" w:cs="Calibri" w:asciiTheme="minorHAnsi" w:cstheme="minorHAnsi" w:hAnsiTheme="minorHAnsi"/>
                <w:b/>
                <w:b/>
                <w:i/>
                <w:i/>
                <w:sz w:val="22"/>
                <w:szCs w:val="22"/>
              </w:rPr>
            </w:pPr>
            <w:r>
              <w:rPr>
                <w:rFonts w:cs="Calibri" w:cstheme="minorHAnsi" w:ascii="Calibri" w:hAnsi="Calibri"/>
                <w:b/>
                <w:i/>
                <w:sz w:val="22"/>
                <w:szCs w:val="22"/>
              </w:rPr>
            </w:r>
          </w:p>
        </w:tc>
        <w:tc>
          <w:tcPr>
            <w:tcW w:w="995" w:type="dxa"/>
            <w:tcBorders>
              <w:top w:val="single" w:sz="2" w:space="0" w:color="00000A"/>
              <w:left w:val="single" w:sz="2" w:space="0" w:color="00000A"/>
              <w:bottom w:val="single" w:sz="12" w:space="0" w:color="00000A"/>
              <w:right w:val="single" w:sz="2" w:space="0" w:color="00000A"/>
              <w:insideH w:val="single" w:sz="12" w:space="0" w:color="00000A"/>
              <w:insideV w:val="single" w:sz="2" w:space="0" w:color="00000A"/>
            </w:tcBorders>
            <w:shd w:fill="auto" w:val="clear"/>
            <w:tcMar>
              <w:left w:w="24" w:type="dxa"/>
            </w:tcMar>
            <w:vAlign w:val="center"/>
          </w:tcPr>
          <w:p>
            <w:pPr>
              <w:pStyle w:val="Normal"/>
              <w:jc w:val="center"/>
              <w:rPr>
                <w:rFonts w:ascii="Calibri" w:hAnsi="Calibri" w:cs="Calibri" w:asciiTheme="minorHAnsi" w:cstheme="minorHAnsi" w:hAnsiTheme="minorHAnsi"/>
                <w:b/>
                <w:b/>
                <w:i/>
                <w:i/>
                <w:sz w:val="22"/>
                <w:szCs w:val="22"/>
              </w:rPr>
            </w:pPr>
            <w:r>
              <w:rPr>
                <w:rFonts w:cs="Calibri" w:cstheme="minorHAnsi" w:ascii="Calibri" w:hAnsi="Calibri"/>
                <w:b/>
                <w:i/>
                <w:sz w:val="22"/>
                <w:szCs w:val="22"/>
              </w:rPr>
            </w:r>
          </w:p>
        </w:tc>
        <w:tc>
          <w:tcPr>
            <w:tcW w:w="850" w:type="dxa"/>
            <w:vMerge w:val="continue"/>
            <w:tcBorders>
              <w:top w:val="single" w:sz="12" w:space="0" w:color="00000A"/>
              <w:left w:val="single" w:sz="6" w:space="0" w:color="00000A"/>
              <w:bottom w:val="single" w:sz="12" w:space="0" w:color="00000A"/>
              <w:right w:val="single" w:sz="2" w:space="0" w:color="00000A"/>
              <w:insideH w:val="single" w:sz="12" w:space="0" w:color="00000A"/>
              <w:insideV w:val="single" w:sz="2" w:space="0" w:color="00000A"/>
            </w:tcBorders>
            <w:shd w:fill="auto" w:val="clear"/>
            <w:tcMar>
              <w:left w:w="14" w:type="dxa"/>
            </w:tcMar>
            <w:vAlign w:val="center"/>
          </w:tcPr>
          <w:p>
            <w:pPr>
              <w:pStyle w:val="Normal"/>
              <w:jc w:val="center"/>
              <w:rPr>
                <w:rFonts w:ascii="Calibri" w:hAnsi="Calibri" w:cs="Calibri" w:asciiTheme="minorHAnsi" w:cstheme="minorHAnsi" w:hAnsiTheme="minorHAnsi"/>
                <w:b/>
                <w:b/>
                <w:i/>
                <w:i/>
                <w:sz w:val="22"/>
                <w:szCs w:val="22"/>
              </w:rPr>
            </w:pPr>
            <w:r>
              <w:rPr>
                <w:rFonts w:cs="Calibri" w:cstheme="minorHAnsi" w:ascii="Calibri" w:hAnsi="Calibri"/>
                <w:b/>
                <w:i/>
                <w:sz w:val="22"/>
                <w:szCs w:val="22"/>
              </w:rPr>
            </w:r>
          </w:p>
        </w:tc>
        <w:tc>
          <w:tcPr>
            <w:tcW w:w="992" w:type="dxa"/>
            <w:tcBorders>
              <w:top w:val="single" w:sz="2" w:space="0" w:color="00000A"/>
              <w:left w:val="single" w:sz="2" w:space="0" w:color="00000A"/>
              <w:bottom w:val="single" w:sz="12" w:space="0" w:color="00000A"/>
              <w:right w:val="single" w:sz="6" w:space="0" w:color="00000A"/>
              <w:insideH w:val="single" w:sz="12" w:space="0" w:color="00000A"/>
              <w:insideV w:val="single" w:sz="6" w:space="0" w:color="00000A"/>
            </w:tcBorders>
            <w:shd w:fill="auto" w:val="clear"/>
            <w:tcMar>
              <w:left w:w="24" w:type="dxa"/>
            </w:tcMar>
            <w:vAlign w:val="center"/>
          </w:tcPr>
          <w:p>
            <w:pPr>
              <w:pStyle w:val="Normal"/>
              <w:jc w:val="center"/>
              <w:rPr>
                <w:rFonts w:ascii="Calibri" w:hAnsi="Calibri" w:cs="Calibri" w:asciiTheme="minorHAnsi" w:cstheme="minorHAnsi" w:hAnsiTheme="minorHAnsi"/>
                <w:b/>
                <w:b/>
                <w:i/>
                <w:i/>
                <w:sz w:val="22"/>
                <w:szCs w:val="22"/>
              </w:rPr>
            </w:pPr>
            <w:r>
              <w:rPr>
                <w:rFonts w:cs="Calibri" w:cstheme="minorHAnsi" w:ascii="Calibri" w:hAnsi="Calibri"/>
                <w:b/>
                <w:i/>
                <w:sz w:val="22"/>
                <w:szCs w:val="22"/>
              </w:rPr>
            </w:r>
          </w:p>
        </w:tc>
        <w:tc>
          <w:tcPr>
            <w:tcW w:w="851" w:type="dxa"/>
            <w:vMerge w:val="continue"/>
            <w:tcBorders>
              <w:top w:val="single" w:sz="12" w:space="0" w:color="00000A"/>
              <w:left w:val="single" w:sz="2" w:space="0" w:color="00000A"/>
              <w:bottom w:val="single" w:sz="12" w:space="0" w:color="00000A"/>
              <w:right w:val="single" w:sz="2" w:space="0" w:color="00000A"/>
              <w:insideH w:val="single" w:sz="12" w:space="0" w:color="00000A"/>
              <w:insideV w:val="single" w:sz="2" w:space="0" w:color="00000A"/>
            </w:tcBorders>
            <w:shd w:fill="auto" w:val="clear"/>
            <w:tcMar>
              <w:left w:w="26" w:type="dxa"/>
            </w:tcMar>
            <w:vAlign w:val="center"/>
          </w:tcPr>
          <w:p>
            <w:pPr>
              <w:pStyle w:val="Normal"/>
              <w:jc w:val="center"/>
              <w:rPr>
                <w:rFonts w:ascii="Calibri" w:hAnsi="Calibri" w:cs="Calibri" w:asciiTheme="minorHAnsi" w:cstheme="minorHAnsi" w:hAnsiTheme="minorHAnsi"/>
                <w:b/>
                <w:b/>
                <w:i/>
                <w:i/>
                <w:sz w:val="22"/>
                <w:szCs w:val="22"/>
              </w:rPr>
            </w:pPr>
            <w:r>
              <w:rPr>
                <w:rFonts w:cs="Calibri" w:cstheme="minorHAnsi" w:ascii="Calibri" w:hAnsi="Calibri"/>
                <w:b/>
                <w:i/>
                <w:sz w:val="22"/>
                <w:szCs w:val="22"/>
              </w:rPr>
            </w:r>
          </w:p>
        </w:tc>
        <w:tc>
          <w:tcPr>
            <w:tcW w:w="992" w:type="dxa"/>
            <w:tcBorders>
              <w:top w:val="single" w:sz="2" w:space="0" w:color="00000A"/>
              <w:left w:val="single" w:sz="2" w:space="0" w:color="00000A"/>
              <w:bottom w:val="single" w:sz="12" w:space="0" w:color="00000A"/>
              <w:right w:val="single" w:sz="6" w:space="0" w:color="00000A"/>
              <w:insideH w:val="single" w:sz="12" w:space="0" w:color="00000A"/>
              <w:insideV w:val="single" w:sz="6" w:space="0" w:color="00000A"/>
            </w:tcBorders>
            <w:shd w:fill="auto" w:val="clear"/>
            <w:tcMar>
              <w:left w:w="24" w:type="dxa"/>
            </w:tcMar>
            <w:vAlign w:val="center"/>
          </w:tcPr>
          <w:p>
            <w:pPr>
              <w:pStyle w:val="Normal"/>
              <w:jc w:val="center"/>
              <w:rPr>
                <w:rFonts w:ascii="Calibri" w:hAnsi="Calibri" w:cs="Calibri" w:asciiTheme="minorHAnsi" w:cstheme="minorHAnsi" w:hAnsiTheme="minorHAnsi"/>
                <w:b/>
                <w:b/>
                <w:i/>
                <w:i/>
                <w:sz w:val="22"/>
                <w:szCs w:val="22"/>
              </w:rPr>
            </w:pPr>
            <w:r>
              <w:rPr>
                <w:rFonts w:cs="Calibri" w:cstheme="minorHAnsi" w:ascii="Calibri" w:hAnsi="Calibri"/>
                <w:b/>
                <w:i/>
                <w:sz w:val="22"/>
                <w:szCs w:val="22"/>
              </w:rPr>
            </w:r>
          </w:p>
        </w:tc>
        <w:tc>
          <w:tcPr>
            <w:tcW w:w="851" w:type="dxa"/>
            <w:vMerge w:val="continue"/>
            <w:tcBorders>
              <w:top w:val="single" w:sz="12" w:space="0" w:color="00000A"/>
              <w:left w:val="single" w:sz="2" w:space="0" w:color="00000A"/>
              <w:bottom w:val="single" w:sz="12" w:space="0" w:color="00000A"/>
              <w:right w:val="single" w:sz="6" w:space="0" w:color="00000A"/>
              <w:insideH w:val="single" w:sz="12" w:space="0" w:color="00000A"/>
              <w:insideV w:val="single" w:sz="6" w:space="0" w:color="00000A"/>
            </w:tcBorders>
            <w:shd w:fill="auto" w:val="clear"/>
            <w:tcMar>
              <w:left w:w="24" w:type="dxa"/>
            </w:tcMar>
            <w:vAlign w:val="center"/>
          </w:tcPr>
          <w:p>
            <w:pPr>
              <w:pStyle w:val="Normal"/>
              <w:jc w:val="center"/>
              <w:rPr>
                <w:rFonts w:ascii="Calibri" w:hAnsi="Calibri" w:cs="Calibri" w:asciiTheme="minorHAnsi" w:cstheme="minorHAnsi" w:hAnsiTheme="minorHAnsi"/>
                <w:b/>
                <w:b/>
                <w:i/>
                <w:i/>
                <w:sz w:val="22"/>
                <w:szCs w:val="22"/>
              </w:rPr>
            </w:pPr>
            <w:r>
              <w:rPr>
                <w:rFonts w:cs="Calibri" w:cstheme="minorHAnsi" w:ascii="Calibri" w:hAnsi="Calibri"/>
                <w:b/>
                <w:i/>
                <w:sz w:val="22"/>
                <w:szCs w:val="22"/>
              </w:rPr>
            </w:r>
          </w:p>
        </w:tc>
        <w:tc>
          <w:tcPr>
            <w:tcW w:w="988" w:type="dxa"/>
            <w:tcBorders>
              <w:top w:val="single" w:sz="2" w:space="0" w:color="00000A"/>
              <w:left w:val="single" w:sz="2" w:space="0" w:color="00000A"/>
              <w:bottom w:val="single" w:sz="12" w:space="0" w:color="00000A"/>
              <w:right w:val="single" w:sz="6" w:space="0" w:color="00000A"/>
              <w:insideH w:val="single" w:sz="12" w:space="0" w:color="00000A"/>
              <w:insideV w:val="single" w:sz="6" w:space="0" w:color="00000A"/>
            </w:tcBorders>
            <w:shd w:fill="auto" w:val="clear"/>
            <w:tcMar>
              <w:left w:w="24" w:type="dxa"/>
            </w:tcMar>
            <w:vAlign w:val="center"/>
          </w:tcPr>
          <w:p>
            <w:pPr>
              <w:pStyle w:val="Normal"/>
              <w:jc w:val="center"/>
              <w:rPr>
                <w:rFonts w:ascii="Calibri" w:hAnsi="Calibri" w:cs="Calibri" w:asciiTheme="minorHAnsi" w:cstheme="minorHAnsi" w:hAnsiTheme="minorHAnsi"/>
                <w:b/>
                <w:b/>
                <w:i/>
                <w:i/>
                <w:sz w:val="22"/>
                <w:szCs w:val="22"/>
              </w:rPr>
            </w:pPr>
            <w:r>
              <w:rPr>
                <w:rFonts w:cs="Calibri" w:cstheme="minorHAnsi" w:ascii="Calibri" w:hAnsi="Calibri"/>
                <w:b/>
                <w:i/>
                <w:sz w:val="22"/>
                <w:szCs w:val="22"/>
              </w:rPr>
            </w:r>
          </w:p>
        </w:tc>
      </w:tr>
    </w:tbl>
    <w:p>
      <w:pPr>
        <w:pStyle w:val="Normal"/>
        <w:keepNext/>
        <w:spacing w:before="120" w:after="0"/>
        <w:ind w:left="709" w:hanging="0"/>
        <w:jc w:val="both"/>
        <w:rPr>
          <w:rFonts w:ascii="Calibri" w:hAnsi="Calibri" w:cs="Calibri" w:asciiTheme="minorHAnsi" w:cstheme="minorHAnsi" w:hAnsiTheme="minorHAnsi"/>
          <w:i/>
          <w:i/>
          <w:sz w:val="22"/>
          <w:szCs w:val="22"/>
        </w:rPr>
      </w:pPr>
      <w:r>
        <w:rPr>
          <w:rFonts w:cs="Calibri" w:ascii="Calibri" w:hAnsi="Calibri" w:asciiTheme="minorHAnsi" w:cstheme="minorHAnsi" w:hAnsiTheme="minorHAnsi"/>
          <w:i/>
          <w:sz w:val="22"/>
          <w:szCs w:val="22"/>
        </w:rPr>
        <w:t>Rozdělení sjednaného množství prodávaného Uhlí dle této tabulky na jednotlivé přepravní prostředky si Smluvní strany sjednávají jako orientační s tím, že bude upřesněno postupem dle Smlouvy.</w:t>
      </w:r>
    </w:p>
    <w:p>
      <w:pPr>
        <w:pStyle w:val="Normal"/>
        <w:spacing w:before="240" w:after="120"/>
        <w:ind w:left="567" w:hanging="567"/>
        <w:jc w:val="both"/>
        <w:rPr>
          <w:rFonts w:ascii="Calibri" w:hAnsi="Calibri" w:cs="Calibri"/>
          <w:sz w:val="22"/>
          <w:szCs w:val="22"/>
        </w:rPr>
      </w:pPr>
      <w:r>
        <w:rPr>
          <w:rFonts w:cs="Calibri" w:ascii="Calibri" w:hAnsi="Calibri"/>
          <w:sz w:val="22"/>
          <w:szCs w:val="22"/>
        </w:rPr>
        <w:t xml:space="preserve">II.2. </w:t>
        <w:tab/>
        <w:t>Odst. II.6. Smlouvy se mění a nově zní:</w:t>
      </w:r>
    </w:p>
    <w:p>
      <w:pPr>
        <w:pStyle w:val="Normal"/>
        <w:spacing w:before="120" w:after="240"/>
        <w:ind w:left="1134" w:hanging="567"/>
        <w:jc w:val="both"/>
        <w:rPr>
          <w:rFonts w:ascii="Calibri" w:hAnsi="Calibri" w:cs="Calibri"/>
          <w:i/>
          <w:i/>
          <w:sz w:val="22"/>
          <w:szCs w:val="22"/>
        </w:rPr>
      </w:pPr>
      <w:r>
        <w:rPr>
          <w:rFonts w:cs="Calibri" w:ascii="Calibri" w:hAnsi="Calibri"/>
          <w:i/>
          <w:sz w:val="22"/>
          <w:szCs w:val="22"/>
        </w:rPr>
        <w:t xml:space="preserve">II.6. </w:t>
        <w:tab/>
        <w:t>Kupující bere na vědomí, že Prodávající má v průběhu kalendářního roku odstávky odbytu Uhlí. Pro rok 2017 je předpokládaný termín pravidelné roční odstávky (dlouhodobé odstávky) od 19.6.2017 do 2.7.2017. Prodávající zveřejní termín pravidelné roční odstávky odbytu Uhlí na svých internetových stránkách www.sd</w:t>
        <w:noBreakHyphen/>
        <w:t>bilinskeuhli.cz, a to alespoň 40 dní před započetím příslušného kalendářního čtvrtletí, ve kterém bude odstávka odbytu Uhlí uskutečněna. Prodávající zveřejní plánované krátkodobé provozní odstávky odbytu Uhlí (PPO) na svých internetových stránkách www.sd</w:t>
        <w:noBreakHyphen/>
        <w:t>bilinskeuhli.cz, a to s přiměřeným předstihem před takovou odstávkou. Kupující se zavazuje, že bude pravidelně sledovat tuto internetovou stránku Prodávajícího a s ohledem na zveřejněné odstávky odbytu Uhlí uplatňovat svá práva a povinnosti dle Smlouvy.</w:t>
      </w:r>
    </w:p>
    <w:p>
      <w:pPr>
        <w:pStyle w:val="Normal"/>
        <w:tabs>
          <w:tab w:val="left" w:pos="567" w:leader="none"/>
        </w:tabs>
        <w:spacing w:before="120" w:after="120"/>
        <w:jc w:val="both"/>
        <w:rPr>
          <w:rFonts w:ascii="Calibri" w:hAnsi="Calibri" w:cs="Calibri"/>
          <w:sz w:val="22"/>
          <w:szCs w:val="22"/>
        </w:rPr>
      </w:pPr>
      <w:r>
        <w:rPr>
          <w:rFonts w:cs="Calibri" w:ascii="Calibri" w:hAnsi="Calibri"/>
          <w:sz w:val="22"/>
          <w:szCs w:val="22"/>
        </w:rPr>
        <w:t xml:space="preserve">II.3. </w:t>
        <w:tab/>
        <w:t>Odst. V.1. Smlouvy se mění a nově zní:</w:t>
      </w:r>
    </w:p>
    <w:p>
      <w:pPr>
        <w:pStyle w:val="Normal"/>
        <w:tabs>
          <w:tab w:val="left" w:pos="567" w:leader="none"/>
          <w:tab w:val="left" w:pos="1134" w:leader="none"/>
        </w:tabs>
        <w:spacing w:before="120" w:after="120"/>
        <w:jc w:val="both"/>
        <w:rPr>
          <w:rFonts w:ascii="Calibri" w:hAnsi="Calibri" w:cs="Calibri"/>
          <w:i/>
          <w:i/>
          <w:sz w:val="22"/>
          <w:szCs w:val="22"/>
        </w:rPr>
      </w:pPr>
      <w:r>
        <w:rPr>
          <w:rFonts w:cs="Calibri" w:ascii="Calibri" w:hAnsi="Calibri"/>
          <w:sz w:val="22"/>
          <w:szCs w:val="22"/>
        </w:rPr>
        <w:tab/>
      </w:r>
      <w:r>
        <w:rPr>
          <w:rFonts w:cs="Calibri" w:ascii="Calibri" w:hAnsi="Calibri"/>
          <w:i/>
          <w:sz w:val="22"/>
          <w:szCs w:val="22"/>
        </w:rPr>
        <w:t>V.1.</w:t>
        <w:tab/>
        <w:t xml:space="preserve">Jednotková cena druhu Uhlí (hp1) pro rok 2017 je xxx Kč/t (bez DPH). </w:t>
      </w:r>
    </w:p>
    <w:p>
      <w:pPr>
        <w:pStyle w:val="Normal"/>
        <w:tabs>
          <w:tab w:val="left" w:pos="567" w:leader="none"/>
          <w:tab w:val="left" w:pos="1134" w:leader="none"/>
        </w:tabs>
        <w:spacing w:before="240" w:after="120"/>
        <w:jc w:val="both"/>
        <w:rPr>
          <w:rFonts w:ascii="Calibri" w:hAnsi="Calibri" w:cs="Calibri"/>
          <w:sz w:val="22"/>
          <w:szCs w:val="22"/>
        </w:rPr>
      </w:pPr>
      <w:r>
        <w:rPr>
          <w:rFonts w:cs="Calibri" w:ascii="Calibri" w:hAnsi="Calibri"/>
          <w:sz w:val="22"/>
          <w:szCs w:val="22"/>
        </w:rPr>
        <w:t>II.4.</w:t>
        <w:tab/>
        <w:t>Odst. V.4. Smlouvy se mění a nově zní:</w:t>
      </w:r>
    </w:p>
    <w:p>
      <w:pPr>
        <w:pStyle w:val="Normal"/>
        <w:keepNext/>
        <w:widowControl w:val="false"/>
        <w:numPr>
          <w:ilvl w:val="0"/>
          <w:numId w:val="0"/>
        </w:numPr>
        <w:tabs>
          <w:tab w:val="left" w:pos="1134" w:leader="none"/>
        </w:tabs>
        <w:spacing w:before="120" w:after="120"/>
        <w:ind w:left="1134" w:hanging="567"/>
        <w:jc w:val="both"/>
        <w:outlineLvl w:val="1"/>
        <w:rPr>
          <w:rFonts w:ascii="Calibri" w:hAnsi="Calibri" w:cs="Calibri"/>
          <w:i/>
          <w:i/>
          <w:color w:val="000000"/>
          <w:sz w:val="22"/>
          <w:szCs w:val="22"/>
        </w:rPr>
      </w:pPr>
      <w:r>
        <w:rPr>
          <w:rFonts w:cs="Calibri" w:ascii="Calibri" w:hAnsi="Calibri"/>
          <w:i/>
          <w:color w:val="000000"/>
          <w:sz w:val="22"/>
          <w:szCs w:val="22"/>
        </w:rPr>
        <w:t xml:space="preserve">V.4. </w:t>
        <w:tab/>
        <w:t>Výše manipulačních poplatků bez DPH spojených s naložením Uhlí jsou uvedeny v následující tabulce:</w:t>
      </w:r>
    </w:p>
    <w:tbl>
      <w:tblPr>
        <w:tblW w:w="6528"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1" w:lastRow="0" w:firstColumn="1" w:lastColumn="0" w:noHBand="0" w:val="04a0"/>
      </w:tblPr>
      <w:tblGrid>
        <w:gridCol w:w="4331"/>
        <w:gridCol w:w="2196"/>
      </w:tblGrid>
      <w:tr>
        <w:trPr/>
        <w:tc>
          <w:tcPr>
            <w:tcW w:w="43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jc w:val="center"/>
              <w:rPr>
                <w:rFonts w:ascii="Calibri" w:hAnsi="Calibri" w:cs="Calibri"/>
                <w:b/>
                <w:b/>
                <w:i/>
                <w:i/>
                <w:sz w:val="22"/>
                <w:szCs w:val="22"/>
              </w:rPr>
            </w:pPr>
            <w:r>
              <w:rPr>
                <w:rFonts w:cs="Calibri" w:ascii="Calibri" w:hAnsi="Calibri"/>
                <w:b/>
                <w:i/>
                <w:sz w:val="22"/>
                <w:szCs w:val="22"/>
              </w:rPr>
              <w:t>Způsob nakládky</w:t>
            </w:r>
          </w:p>
        </w:tc>
        <w:tc>
          <w:tcPr>
            <w:tcW w:w="21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jc w:val="center"/>
              <w:rPr>
                <w:rFonts w:ascii="Calibri" w:hAnsi="Calibri" w:cs="Calibri"/>
                <w:b/>
                <w:b/>
                <w:i/>
                <w:i/>
                <w:sz w:val="22"/>
                <w:szCs w:val="22"/>
              </w:rPr>
            </w:pPr>
            <w:r>
              <w:rPr>
                <w:rFonts w:cs="Calibri" w:ascii="Calibri" w:hAnsi="Calibri"/>
                <w:b/>
                <w:i/>
                <w:sz w:val="22"/>
                <w:szCs w:val="22"/>
              </w:rPr>
              <w:t>Výše manipulačního poplatku (v Kč/t)</w:t>
            </w:r>
          </w:p>
        </w:tc>
      </w:tr>
      <w:tr>
        <w:trPr/>
        <w:tc>
          <w:tcPr>
            <w:tcW w:w="43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rFonts w:ascii="Calibri" w:hAnsi="Calibri" w:cs="Calibri"/>
                <w:i/>
                <w:i/>
                <w:sz w:val="22"/>
                <w:szCs w:val="22"/>
              </w:rPr>
            </w:pPr>
            <w:r>
              <w:rPr>
                <w:rFonts w:cs="Calibri" w:ascii="Calibri" w:hAnsi="Calibri"/>
                <w:i/>
                <w:sz w:val="22"/>
                <w:szCs w:val="22"/>
              </w:rPr>
              <w:t>do vagónů při přepravě po železnici</w:t>
            </w:r>
          </w:p>
        </w:tc>
        <w:tc>
          <w:tcPr>
            <w:tcW w:w="21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jc w:val="center"/>
              <w:rPr/>
            </w:pPr>
            <w:r>
              <w:rPr>
                <w:rFonts w:cs="Calibri" w:ascii="Calibri" w:hAnsi="Calibri"/>
                <w:i/>
                <w:sz w:val="22"/>
                <w:szCs w:val="22"/>
              </w:rPr>
              <w:t>xx</w:t>
            </w:r>
          </w:p>
        </w:tc>
      </w:tr>
      <w:tr>
        <w:trPr/>
        <w:tc>
          <w:tcPr>
            <w:tcW w:w="43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rFonts w:ascii="Calibri" w:hAnsi="Calibri" w:cs="Calibri"/>
                <w:i/>
                <w:i/>
                <w:sz w:val="22"/>
                <w:szCs w:val="22"/>
              </w:rPr>
            </w:pPr>
            <w:r>
              <w:rPr>
                <w:rFonts w:cs="Calibri" w:ascii="Calibri" w:hAnsi="Calibri"/>
                <w:i/>
                <w:sz w:val="22"/>
                <w:szCs w:val="22"/>
              </w:rPr>
              <w:t>do silničních vozidel při přepravě po ose</w:t>
            </w:r>
          </w:p>
        </w:tc>
        <w:tc>
          <w:tcPr>
            <w:tcW w:w="21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jc w:val="center"/>
              <w:rPr/>
            </w:pPr>
            <w:r>
              <w:rPr>
                <w:rFonts w:cs="Calibri" w:ascii="Calibri" w:hAnsi="Calibri"/>
                <w:i/>
                <w:sz w:val="22"/>
                <w:szCs w:val="22"/>
              </w:rPr>
              <w:t>xx</w:t>
            </w:r>
          </w:p>
        </w:tc>
      </w:tr>
    </w:tbl>
    <w:p>
      <w:pPr>
        <w:pStyle w:val="Normal"/>
        <w:keepNext/>
        <w:tabs>
          <w:tab w:val="left" w:pos="567" w:leader="none"/>
        </w:tabs>
        <w:spacing w:lineRule="atLeast" w:line="23"/>
        <w:rPr>
          <w:rFonts w:ascii="Calibri" w:hAnsi="Calibri" w:cs="Calibri"/>
          <w:sz w:val="22"/>
          <w:szCs w:val="22"/>
        </w:rPr>
      </w:pPr>
      <w:r>
        <w:rPr>
          <w:rFonts w:cs="Calibri" w:ascii="Calibri" w:hAnsi="Calibri"/>
          <w:sz w:val="22"/>
          <w:szCs w:val="22"/>
        </w:rPr>
        <w:t>II.5.</w:t>
        <w:tab/>
        <w:t>Odstavec VII.6. Smlouvy se mění a nově zní:</w:t>
      </w:r>
    </w:p>
    <w:p>
      <w:pPr>
        <w:pStyle w:val="Normal"/>
        <w:keepNext/>
        <w:tabs>
          <w:tab w:val="left" w:pos="567" w:leader="none"/>
        </w:tabs>
        <w:spacing w:before="120" w:after="0"/>
        <w:ind w:left="1134" w:hanging="1134"/>
        <w:jc w:val="both"/>
        <w:rPr>
          <w:rFonts w:ascii="Calibri" w:hAnsi="Calibri" w:cs="Calibri" w:asciiTheme="minorHAnsi" w:cstheme="minorHAnsi" w:hAnsiTheme="minorHAnsi"/>
          <w:i/>
          <w:i/>
          <w:sz w:val="22"/>
          <w:szCs w:val="22"/>
        </w:rPr>
      </w:pPr>
      <w:r>
        <w:rPr>
          <w:rFonts w:cs="Calibri" w:ascii="Calibri" w:hAnsi="Calibri" w:asciiTheme="minorHAnsi" w:cstheme="minorHAnsi" w:hAnsiTheme="minorHAnsi"/>
          <w:sz w:val="22"/>
          <w:szCs w:val="22"/>
        </w:rPr>
        <w:tab/>
      </w:r>
      <w:r>
        <w:rPr>
          <w:rFonts w:cs="Calibri" w:ascii="Calibri" w:hAnsi="Calibri" w:asciiTheme="minorHAnsi" w:cstheme="minorHAnsi" w:hAnsiTheme="minorHAnsi"/>
          <w:i/>
          <w:sz w:val="22"/>
          <w:szCs w:val="22"/>
        </w:rPr>
        <w:t>VII.6.</w:t>
        <w:tab/>
        <w:t>Skryté kvalitativní vady Uhlí (tj. vady Uhlí zjistitelné laboratorním rozborem, zejména překročení maximálního obsahu popela v Uhlí, či nižší výhřevnost Uhlí než je uvedeno ve Smlouvě) je Kupující povinen písemně oznámit Prodávajícímu do 60 dnů od přechodu vlastnického práva k Uhlí Protokolem o vadách, jehož přílohou je Zápis o odběru vzorků a výsledcích laboratorní zkoušky.</w:t>
      </w:r>
    </w:p>
    <w:p>
      <w:pPr>
        <w:pStyle w:val="Normal"/>
        <w:keepNext/>
        <w:tabs>
          <w:tab w:val="left" w:pos="567" w:leader="none"/>
        </w:tabs>
        <w:spacing w:lineRule="atLeast" w:line="23"/>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keepNext/>
        <w:tabs>
          <w:tab w:val="left" w:pos="567" w:leader="none"/>
        </w:tabs>
        <w:spacing w:lineRule="atLeast" w:line="23"/>
        <w:ind w:left="567" w:hanging="567"/>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II.6.</w:t>
        <w:tab/>
        <w:t>Smluvní strany mění přílohu č. 4 Smlouvy (Katalog hnědého uhlí 2016); příloha č. 4 Smlouvy nově zní dle přílohy č. 1 Dodatku, která tvoří nedílnou součást tohoto Dodatku.</w:t>
      </w:r>
    </w:p>
    <w:p>
      <w:pPr>
        <w:pStyle w:val="Nadpis6"/>
        <w:tabs>
          <w:tab w:val="left" w:pos="567" w:leader="none"/>
        </w:tabs>
        <w:spacing w:lineRule="atLeast" w:line="23"/>
        <w:rPr>
          <w:rFonts w:ascii="Calibri" w:hAnsi="Calibri" w:cs="Calibri"/>
          <w:b/>
          <w:b/>
          <w:sz w:val="22"/>
          <w:szCs w:val="22"/>
        </w:rPr>
      </w:pPr>
      <w:r>
        <w:rPr>
          <w:rFonts w:cs="Calibri" w:ascii="Calibri" w:hAnsi="Calibri"/>
          <w:b/>
          <w:sz w:val="22"/>
          <w:szCs w:val="22"/>
        </w:rPr>
      </w:r>
    </w:p>
    <w:p>
      <w:pPr>
        <w:pStyle w:val="Nadpis6"/>
        <w:tabs>
          <w:tab w:val="left" w:pos="567" w:leader="none"/>
        </w:tabs>
        <w:spacing w:lineRule="atLeast" w:line="23"/>
        <w:rPr>
          <w:rFonts w:ascii="Calibri" w:hAnsi="Calibri" w:cs="Calibri"/>
          <w:b/>
          <w:b/>
          <w:sz w:val="22"/>
          <w:szCs w:val="22"/>
        </w:rPr>
      </w:pPr>
      <w:r>
        <w:rPr>
          <w:rFonts w:cs="Calibri" w:ascii="Calibri" w:hAnsi="Calibri"/>
          <w:b/>
          <w:sz w:val="22"/>
          <w:szCs w:val="22"/>
        </w:rPr>
        <w:t>III.</w:t>
      </w:r>
    </w:p>
    <w:p>
      <w:pPr>
        <w:pStyle w:val="Normal"/>
        <w:keepLines/>
        <w:spacing w:lineRule="atLeast" w:line="23" w:before="0" w:after="240"/>
        <w:ind w:left="567" w:hanging="567"/>
        <w:jc w:val="center"/>
        <w:rPr>
          <w:rFonts w:ascii="Calibri" w:hAnsi="Calibri" w:cs="Calibri"/>
          <w:b/>
          <w:b/>
          <w:sz w:val="22"/>
          <w:szCs w:val="22"/>
        </w:rPr>
      </w:pPr>
      <w:r>
        <w:rPr>
          <w:rFonts w:cs="Calibri" w:ascii="Calibri" w:hAnsi="Calibri"/>
          <w:b/>
          <w:sz w:val="22"/>
          <w:szCs w:val="22"/>
        </w:rPr>
        <w:t>Závěrečná ustanovení</w:t>
      </w:r>
    </w:p>
    <w:p>
      <w:pPr>
        <w:pStyle w:val="Normal"/>
        <w:spacing w:before="120" w:after="120"/>
        <w:ind w:left="567" w:hanging="567"/>
        <w:jc w:val="both"/>
        <w:rPr>
          <w:rFonts w:ascii="Calibri" w:hAnsi="Calibri" w:cs="Calibri"/>
          <w:sz w:val="22"/>
          <w:szCs w:val="22"/>
        </w:rPr>
      </w:pPr>
      <w:r>
        <w:rPr>
          <w:rFonts w:cs="Calibri" w:ascii="Calibri" w:hAnsi="Calibri"/>
          <w:sz w:val="22"/>
          <w:szCs w:val="22"/>
        </w:rPr>
        <w:t>III.1.</w:t>
        <w:tab/>
        <w:t>Ostatní ujednání Smlouvy zůstávají tímto Dodatkem nedotčena.</w:t>
      </w:r>
    </w:p>
    <w:p>
      <w:pPr>
        <w:pStyle w:val="Normal"/>
        <w:spacing w:before="120" w:after="120"/>
        <w:ind w:left="567" w:hanging="567"/>
        <w:jc w:val="both"/>
        <w:rPr>
          <w:rFonts w:ascii="Calibri" w:hAnsi="Calibri" w:cs="Calibri"/>
          <w:sz w:val="22"/>
          <w:szCs w:val="22"/>
        </w:rPr>
      </w:pPr>
      <w:r>
        <w:rPr>
          <w:rFonts w:cs="Calibri" w:ascii="Calibri" w:hAnsi="Calibri"/>
          <w:sz w:val="22"/>
          <w:szCs w:val="22"/>
        </w:rPr>
        <w:t>III.2.</w:t>
        <w:tab/>
        <w:t>Dodatek nabývá účinnosti od 1.1.2017.</w:t>
      </w:r>
    </w:p>
    <w:p>
      <w:pPr>
        <w:pStyle w:val="Normal"/>
        <w:spacing w:before="120" w:after="120"/>
        <w:ind w:left="567" w:hanging="567"/>
        <w:jc w:val="both"/>
        <w:rPr>
          <w:rFonts w:ascii="Calibri" w:hAnsi="Calibri" w:cs="Calibri"/>
          <w:sz w:val="22"/>
          <w:szCs w:val="22"/>
        </w:rPr>
      </w:pPr>
      <w:r>
        <w:rPr>
          <w:rFonts w:cs="Calibri" w:ascii="Calibri" w:hAnsi="Calibri"/>
          <w:sz w:val="22"/>
          <w:szCs w:val="22"/>
        </w:rPr>
        <w:t>III.3.</w:t>
        <w:tab/>
        <w:t>Dodatek je vyhotoven ve 4 vyhotoveních s platností originálu, přičemž každá Smluvní strana obdrží 2 vyhotovení.</w:t>
      </w:r>
    </w:p>
    <w:p>
      <w:pPr>
        <w:pStyle w:val="Normal"/>
        <w:keepLines/>
        <w:spacing w:before="120" w:after="120"/>
        <w:ind w:left="567" w:hanging="567"/>
        <w:jc w:val="both"/>
        <w:rPr>
          <w:rFonts w:ascii="Calibri" w:hAnsi="Calibri" w:cs="Calibri"/>
          <w:sz w:val="22"/>
          <w:szCs w:val="22"/>
        </w:rPr>
      </w:pPr>
      <w:r>
        <w:rPr>
          <w:rFonts w:cs="Calibri" w:ascii="Calibri" w:hAnsi="Calibri"/>
          <w:sz w:val="22"/>
          <w:szCs w:val="22"/>
        </w:rPr>
        <w:t>III.4.</w:t>
        <w:tab/>
        <w:t>Nedílnou součástí Dodatku je:</w:t>
      </w:r>
    </w:p>
    <w:p>
      <w:pPr>
        <w:pStyle w:val="Normal"/>
        <w:keepLines/>
        <w:spacing w:lineRule="atLeast" w:line="23"/>
        <w:ind w:left="567" w:hanging="567"/>
        <w:jc w:val="both"/>
        <w:rPr>
          <w:rFonts w:ascii="Calibri" w:hAnsi="Calibri" w:cs="Calibri"/>
          <w:sz w:val="22"/>
          <w:szCs w:val="22"/>
        </w:rPr>
      </w:pPr>
      <w:r>
        <w:rPr>
          <w:rFonts w:cs="Calibri" w:ascii="Calibri" w:hAnsi="Calibri"/>
          <w:sz w:val="22"/>
          <w:szCs w:val="22"/>
        </w:rPr>
        <w:tab/>
        <w:t>Příloha č. 1 – Katalog hnědého uhlí 2017</w:t>
      </w:r>
    </w:p>
    <w:tbl>
      <w:tblPr>
        <w:tblpPr w:bottomFromText="0" w:horzAnchor="margin" w:leftFromText="141" w:rightFromText="141" w:tblpX="0" w:tblpY="309" w:topFromText="0" w:vertAnchor="text"/>
        <w:tblW w:w="10064" w:type="dxa"/>
        <w:jc w:val="left"/>
        <w:tblInd w:w="108" w:type="dxa"/>
        <w:tblBorders/>
        <w:tblCellMar>
          <w:top w:w="0" w:type="dxa"/>
          <w:left w:w="108" w:type="dxa"/>
          <w:bottom w:w="0" w:type="dxa"/>
          <w:right w:w="108" w:type="dxa"/>
        </w:tblCellMar>
        <w:tblLook w:firstRow="1" w:noVBand="1" w:lastRow="0" w:firstColumn="1" w:lastColumn="0" w:noHBand="0" w:val="04a0"/>
      </w:tblPr>
      <w:tblGrid>
        <w:gridCol w:w="5015"/>
        <w:gridCol w:w="5048"/>
      </w:tblGrid>
      <w:tr>
        <w:trPr/>
        <w:tc>
          <w:tcPr>
            <w:tcW w:w="5015" w:type="dxa"/>
            <w:tcBorders/>
            <w:shd w:fill="auto" w:val="clear"/>
          </w:tcPr>
          <w:p>
            <w:pPr>
              <w:pStyle w:val="NoSpacing"/>
              <w:spacing w:lineRule="atLeast" w:line="23" w:before="0" w:after="240"/>
              <w:rPr>
                <w:rFonts w:cs="Calibri"/>
              </w:rPr>
            </w:pPr>
            <w:r>
              <w:rPr>
                <w:rFonts w:cs="Calibri"/>
              </w:rPr>
              <w:t>Prodávající:</w:t>
            </w:r>
          </w:p>
          <w:p>
            <w:pPr>
              <w:pStyle w:val="NoSpacing"/>
              <w:spacing w:lineRule="atLeast" w:line="23"/>
              <w:rPr>
                <w:rFonts w:cs="Calibri"/>
              </w:rPr>
            </w:pPr>
            <w:r>
              <w:rPr>
                <w:rFonts w:cs="Calibri"/>
              </w:rPr>
              <w:t xml:space="preserve">V Chomutově dne </w:t>
            </w:r>
            <w:r>
              <w:rPr>
                <w:rFonts w:cs="Calibri"/>
                <w:b/>
              </w:rPr>
              <w:t>_________________</w:t>
            </w:r>
          </w:p>
        </w:tc>
        <w:tc>
          <w:tcPr>
            <w:tcW w:w="5048" w:type="dxa"/>
            <w:tcBorders/>
            <w:shd w:fill="auto" w:val="clear"/>
          </w:tcPr>
          <w:p>
            <w:pPr>
              <w:pStyle w:val="NoSpacing"/>
              <w:spacing w:lineRule="atLeast" w:line="23" w:before="0" w:after="240"/>
              <w:ind w:left="357" w:hanging="357"/>
              <w:rPr>
                <w:rFonts w:cs="Calibri"/>
              </w:rPr>
            </w:pPr>
            <w:r>
              <w:rPr>
                <w:rFonts w:cs="Calibri"/>
              </w:rPr>
              <w:t>Kupující:</w:t>
            </w:r>
          </w:p>
          <w:p>
            <w:pPr>
              <w:pStyle w:val="NoSpacing"/>
              <w:spacing w:lineRule="atLeast" w:line="23"/>
              <w:ind w:left="356" w:hanging="356"/>
              <w:rPr>
                <w:rFonts w:cs="Calibri"/>
              </w:rPr>
            </w:pPr>
            <w:r>
              <w:rPr>
                <w:rFonts w:cs="Calibri"/>
              </w:rPr>
              <w:t xml:space="preserve">V Klatovech dne </w:t>
            </w:r>
            <w:r>
              <w:rPr>
                <w:rFonts w:cs="Calibri"/>
                <w:b/>
              </w:rPr>
              <w:t>_________________</w:t>
            </w:r>
          </w:p>
        </w:tc>
      </w:tr>
      <w:tr>
        <w:trPr>
          <w:trHeight w:val="2057" w:hRule="atLeast"/>
        </w:trPr>
        <w:tc>
          <w:tcPr>
            <w:tcW w:w="5015" w:type="dxa"/>
            <w:tcBorders/>
            <w:shd w:fill="auto" w:val="clear"/>
          </w:tcPr>
          <w:p>
            <w:pPr>
              <w:pStyle w:val="NoSpacing"/>
              <w:spacing w:lineRule="atLeast" w:line="23"/>
              <w:rPr>
                <w:rFonts w:cs="Calibri"/>
              </w:rPr>
            </w:pPr>
            <w:r>
              <w:rPr>
                <w:rFonts w:cs="Calibri"/>
              </w:rPr>
            </w:r>
          </w:p>
          <w:p>
            <w:pPr>
              <w:pStyle w:val="NoSpacing"/>
              <w:spacing w:lineRule="atLeast" w:line="23"/>
              <w:rPr>
                <w:rFonts w:cs="Calibri"/>
              </w:rPr>
            </w:pPr>
            <w:r>
              <w:rPr>
                <w:rFonts w:cs="Calibri"/>
              </w:rPr>
            </w:r>
          </w:p>
          <w:p>
            <w:pPr>
              <w:pStyle w:val="NoSpacing"/>
              <w:spacing w:lineRule="atLeast" w:line="23"/>
              <w:rPr>
                <w:rFonts w:cs="Calibri"/>
              </w:rPr>
            </w:pPr>
            <w:r>
              <w:rPr>
                <w:rFonts w:cs="Calibri"/>
              </w:rPr>
            </w:r>
          </w:p>
          <w:p>
            <w:pPr>
              <w:pStyle w:val="NoSpacing"/>
              <w:spacing w:lineRule="atLeast" w:line="23"/>
              <w:rPr>
                <w:rFonts w:cs="Calibri"/>
              </w:rPr>
            </w:pPr>
            <w:r>
              <w:rPr>
                <w:rFonts w:cs="Calibri"/>
              </w:rPr>
            </w:r>
          </w:p>
          <w:p>
            <w:pPr>
              <w:pStyle w:val="NoSpacing"/>
              <w:spacing w:lineRule="atLeast" w:line="23"/>
              <w:rPr>
                <w:rFonts w:cs="Calibri"/>
              </w:rPr>
            </w:pPr>
            <w:r>
              <w:rPr>
                <w:rFonts w:cs="Calibri"/>
              </w:rPr>
              <w:t>_______________________________________</w:t>
            </w:r>
          </w:p>
          <w:p>
            <w:pPr>
              <w:pStyle w:val="NoSpacing"/>
              <w:spacing w:lineRule="atLeast" w:line="23"/>
              <w:rPr>
                <w:rFonts w:cs="Calibri"/>
              </w:rPr>
            </w:pPr>
            <w:r>
              <w:rPr>
                <w:rFonts w:cs="Calibri"/>
              </w:rPr>
              <w:t>Ing. Ivo Pěgřímek, Ph.D.</w:t>
            </w:r>
          </w:p>
          <w:p>
            <w:pPr>
              <w:pStyle w:val="NoSpacing"/>
              <w:spacing w:lineRule="atLeast" w:line="23"/>
              <w:rPr>
                <w:rFonts w:cs="Calibri"/>
              </w:rPr>
            </w:pPr>
            <w:r>
              <w:rPr>
                <w:rFonts w:cs="Calibri"/>
              </w:rPr>
              <w:t>předseda představenstva</w:t>
            </w:r>
          </w:p>
        </w:tc>
        <w:tc>
          <w:tcPr>
            <w:tcW w:w="5048" w:type="dxa"/>
            <w:tcBorders/>
            <w:shd w:fill="auto" w:val="clear"/>
          </w:tcPr>
          <w:p>
            <w:pPr>
              <w:pStyle w:val="NoSpacing"/>
              <w:spacing w:lineRule="atLeast" w:line="23"/>
              <w:rPr>
                <w:rFonts w:cs="Calibri"/>
              </w:rPr>
            </w:pPr>
            <w:r>
              <w:rPr>
                <w:rFonts w:cs="Calibri"/>
              </w:rPr>
            </w:r>
          </w:p>
          <w:p>
            <w:pPr>
              <w:pStyle w:val="NoSpacing"/>
              <w:spacing w:lineRule="atLeast" w:line="23"/>
              <w:rPr>
                <w:rFonts w:cs="Calibri"/>
              </w:rPr>
            </w:pPr>
            <w:r>
              <w:rPr>
                <w:rFonts w:cs="Calibri"/>
              </w:rPr>
            </w:r>
          </w:p>
          <w:p>
            <w:pPr>
              <w:pStyle w:val="NoSpacing"/>
              <w:spacing w:lineRule="atLeast" w:line="23"/>
              <w:rPr>
                <w:rFonts w:cs="Calibri"/>
              </w:rPr>
            </w:pPr>
            <w:r>
              <w:rPr>
                <w:rFonts w:cs="Calibri"/>
              </w:rPr>
            </w:r>
          </w:p>
          <w:p>
            <w:pPr>
              <w:pStyle w:val="NoSpacing"/>
              <w:spacing w:lineRule="atLeast" w:line="23"/>
              <w:rPr>
                <w:rFonts w:cs="Calibri"/>
              </w:rPr>
            </w:pPr>
            <w:r>
              <w:rPr>
                <w:rFonts w:cs="Calibri"/>
              </w:rPr>
            </w:r>
          </w:p>
          <w:p>
            <w:pPr>
              <w:pStyle w:val="NoSpacing"/>
              <w:spacing w:lineRule="atLeast" w:line="23"/>
              <w:rPr>
                <w:rFonts w:cs="Calibri"/>
              </w:rPr>
            </w:pPr>
            <w:r>
              <w:rPr>
                <w:rFonts w:cs="Calibri"/>
              </w:rPr>
              <w:t>________________________________________</w:t>
            </w:r>
          </w:p>
          <w:p>
            <w:pPr>
              <w:pStyle w:val="PlainText"/>
              <w:spacing w:lineRule="atLeast" w:line="23"/>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Marie Hulešová</w:t>
            </w:r>
          </w:p>
          <w:p>
            <w:pPr>
              <w:pStyle w:val="PlainText"/>
              <w:spacing w:lineRule="atLeast" w:line="23"/>
              <w:jc w:val="both"/>
              <w:rPr>
                <w:rFonts w:ascii="Calibri" w:hAnsi="Calibri" w:cs="Calibri"/>
                <w:b/>
                <w:b/>
                <w:sz w:val="22"/>
                <w:szCs w:val="22"/>
              </w:rPr>
            </w:pPr>
            <w:r>
              <w:rPr>
                <w:rFonts w:cs="Calibri" w:ascii="Calibri" w:hAnsi="Calibri" w:asciiTheme="minorHAnsi" w:cstheme="minorHAnsi" w:hAnsiTheme="minorHAnsi"/>
                <w:sz w:val="22"/>
                <w:szCs w:val="22"/>
              </w:rPr>
              <w:t>předseda představenstva</w:t>
            </w:r>
          </w:p>
        </w:tc>
      </w:tr>
      <w:tr>
        <w:trPr/>
        <w:tc>
          <w:tcPr>
            <w:tcW w:w="5015" w:type="dxa"/>
            <w:tcBorders/>
            <w:shd w:fill="auto" w:val="clear"/>
          </w:tcPr>
          <w:p>
            <w:pPr>
              <w:pStyle w:val="NoSpacing"/>
              <w:spacing w:lineRule="atLeast" w:line="23"/>
              <w:rPr>
                <w:rFonts w:cs="Calibri"/>
              </w:rPr>
            </w:pPr>
            <w:r>
              <w:rPr>
                <w:rFonts w:cs="Calibri"/>
              </w:rPr>
            </w:r>
          </w:p>
          <w:p>
            <w:pPr>
              <w:pStyle w:val="NoSpacing"/>
              <w:spacing w:lineRule="atLeast" w:line="23"/>
              <w:rPr>
                <w:rFonts w:cs="Calibri"/>
              </w:rPr>
            </w:pPr>
            <w:r>
              <w:rPr>
                <w:rFonts w:cs="Calibri"/>
              </w:rPr>
            </w:r>
          </w:p>
          <w:p>
            <w:pPr>
              <w:pStyle w:val="NoSpacing"/>
              <w:spacing w:lineRule="atLeast" w:line="23"/>
              <w:rPr>
                <w:rFonts w:cs="Calibri"/>
              </w:rPr>
            </w:pPr>
            <w:r>
              <w:rPr>
                <w:rFonts w:cs="Calibri"/>
              </w:rPr>
            </w:r>
          </w:p>
          <w:p>
            <w:pPr>
              <w:pStyle w:val="NoSpacing"/>
              <w:spacing w:lineRule="atLeast" w:line="23"/>
              <w:rPr>
                <w:rFonts w:cs="Calibri"/>
              </w:rPr>
            </w:pPr>
            <w:r>
              <w:rPr>
                <w:rFonts w:cs="Calibri"/>
              </w:rPr>
            </w:r>
          </w:p>
          <w:p>
            <w:pPr>
              <w:pStyle w:val="NoSpacing"/>
              <w:spacing w:lineRule="atLeast" w:line="23"/>
              <w:rPr>
                <w:rFonts w:cs="Calibri"/>
              </w:rPr>
            </w:pPr>
            <w:r>
              <w:rPr>
                <w:rFonts w:cs="Calibri"/>
              </w:rPr>
              <w:t>_____________________________________</w:t>
            </w:r>
          </w:p>
          <w:p>
            <w:pPr>
              <w:pStyle w:val="NoSpacing"/>
              <w:spacing w:lineRule="atLeast" w:line="23"/>
              <w:rPr>
                <w:rFonts w:cs="Calibri"/>
              </w:rPr>
            </w:pPr>
            <w:r>
              <w:rPr>
                <w:rFonts w:cs="Calibri"/>
              </w:rPr>
              <w:t>Ing. Ladislav Feber</w:t>
            </w:r>
          </w:p>
          <w:p>
            <w:pPr>
              <w:pStyle w:val="NoSpacing"/>
              <w:spacing w:lineRule="atLeast" w:line="23"/>
              <w:rPr>
                <w:rFonts w:cs="Calibri"/>
              </w:rPr>
            </w:pPr>
            <w:r>
              <w:rPr>
                <w:rFonts w:cs="Calibri"/>
              </w:rPr>
              <w:t>člen představenstva</w:t>
            </w:r>
          </w:p>
          <w:p>
            <w:pPr>
              <w:pStyle w:val="NoSpacing"/>
              <w:spacing w:lineRule="atLeast" w:line="23"/>
              <w:rPr>
                <w:rFonts w:cs="Calibri"/>
              </w:rPr>
            </w:pPr>
            <w:r>
              <w:rPr>
                <w:rFonts w:cs="Calibri"/>
              </w:rPr>
            </w:r>
          </w:p>
        </w:tc>
        <w:tc>
          <w:tcPr>
            <w:tcW w:w="5048" w:type="dxa"/>
            <w:tcBorders/>
            <w:shd w:fill="auto" w:val="clear"/>
          </w:tcPr>
          <w:p>
            <w:pPr>
              <w:pStyle w:val="NoSpacing"/>
              <w:spacing w:lineRule="atLeast" w:line="23"/>
              <w:rPr>
                <w:rFonts w:cs="Calibri"/>
              </w:rPr>
            </w:pPr>
            <w:r>
              <w:rPr>
                <w:rFonts w:cs="Calibri"/>
              </w:rPr>
            </w:r>
          </w:p>
          <w:p>
            <w:pPr>
              <w:pStyle w:val="NoSpacing"/>
              <w:spacing w:lineRule="atLeast" w:line="23"/>
              <w:rPr>
                <w:rFonts w:cs="Calibri"/>
              </w:rPr>
            </w:pPr>
            <w:r>
              <w:rPr>
                <w:rFonts w:cs="Calibri"/>
              </w:rPr>
            </w:r>
          </w:p>
          <w:p>
            <w:pPr>
              <w:pStyle w:val="NoSpacing"/>
              <w:spacing w:lineRule="atLeast" w:line="23"/>
              <w:rPr>
                <w:rFonts w:cs="Calibri"/>
              </w:rPr>
            </w:pPr>
            <w:r>
              <w:rPr>
                <w:rFonts w:cs="Calibri"/>
              </w:rPr>
            </w:r>
          </w:p>
          <w:p>
            <w:pPr>
              <w:pStyle w:val="NoSpacing"/>
              <w:spacing w:lineRule="atLeast" w:line="23"/>
              <w:rPr>
                <w:rFonts w:cs="Calibri"/>
              </w:rPr>
            </w:pPr>
            <w:r>
              <w:rPr>
                <w:rFonts w:cs="Calibri"/>
              </w:rPr>
            </w:r>
          </w:p>
        </w:tc>
      </w:tr>
    </w:tbl>
    <w:p>
      <w:pPr>
        <w:pStyle w:val="Normal"/>
        <w:keepLines/>
        <w:spacing w:before="240" w:after="240"/>
        <w:jc w:val="center"/>
        <w:rPr>
          <w:rFonts w:ascii="Calibri" w:hAnsi="Calibri" w:cs="Calibri" w:asciiTheme="minorHAnsi" w:cstheme="minorHAnsi" w:hAnsiTheme="minorHAnsi"/>
          <w:b/>
          <w:b/>
          <w:sz w:val="22"/>
          <w:szCs w:val="22"/>
        </w:rPr>
      </w:pPr>
      <w:r>
        <w:rPr>
          <w:rFonts w:cs="Calibri" w:cstheme="minorHAnsi" w:ascii="Calibri" w:hAnsi="Calibri"/>
          <w:b/>
          <w:sz w:val="22"/>
          <w:szCs w:val="22"/>
        </w:rPr>
      </w:r>
    </w:p>
    <w:p>
      <w:pPr>
        <w:pStyle w:val="Normal"/>
        <w:keepLines/>
        <w:jc w:val="center"/>
        <w:rPr>
          <w:rFonts w:ascii="Calibri" w:hAnsi="Calibri" w:cs="Calibri" w:asciiTheme="minorHAnsi" w:cstheme="minorHAnsi" w:hAnsiTheme="minorHAnsi"/>
          <w:b/>
          <w:b/>
          <w:sz w:val="22"/>
          <w:szCs w:val="22"/>
        </w:rPr>
      </w:pPr>
      <w:r>
        <w:rPr>
          <w:rFonts w:cs="Calibri" w:ascii="Calibri" w:hAnsi="Calibri" w:asciiTheme="minorHAnsi" w:cstheme="minorHAnsi" w:hAnsiTheme="minorHAnsi"/>
          <w:b/>
          <w:sz w:val="22"/>
          <w:szCs w:val="22"/>
        </w:rPr>
        <w:t>Příloha č. 1 – Katalog hnědého uhlí 2017</w:t>
      </w:r>
    </w:p>
    <w:p>
      <w:pPr>
        <w:pStyle w:val="Normal"/>
        <w:keepLines/>
        <w:jc w:val="center"/>
        <w:rPr>
          <w:rFonts w:ascii="Calibri" w:hAnsi="Calibri" w:cs="Calibri" w:asciiTheme="minorHAnsi" w:cstheme="minorHAnsi" w:hAnsiTheme="minorHAnsi"/>
          <w:b/>
          <w:b/>
          <w:sz w:val="22"/>
          <w:szCs w:val="22"/>
        </w:rPr>
      </w:pPr>
      <w:r>
        <w:rPr>
          <w:rFonts w:cs="Calibri" w:cstheme="minorHAnsi" w:ascii="Calibri" w:hAnsi="Calibri"/>
          <w:b/>
          <w:sz w:val="22"/>
          <w:szCs w:val="22"/>
        </w:rPr>
      </w:r>
    </w:p>
    <w:p>
      <w:pPr>
        <w:pStyle w:val="Normal"/>
        <w:keepLines/>
        <w:jc w:val="center"/>
        <w:rPr>
          <w:rFonts w:ascii="Calibri" w:hAnsi="Calibri" w:cs="Calibri" w:asciiTheme="minorHAnsi" w:cstheme="minorHAnsi" w:hAnsiTheme="minorHAnsi"/>
          <w:b/>
          <w:b/>
          <w:sz w:val="22"/>
          <w:szCs w:val="22"/>
        </w:rPr>
      </w:pPr>
      <w:r>
        <w:rPr/>
        <w:drawing>
          <wp:inline distT="0" distB="0" distL="0" distR="0">
            <wp:extent cx="6010910" cy="8175625"/>
            <wp:effectExtent l="0" t="0" r="0" b="0"/>
            <wp:docPr id="1" name="Obráze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
                    <pic:cNvPicPr>
                      <a:picLocks noChangeAspect="1" noChangeArrowheads="1"/>
                    </pic:cNvPicPr>
                  </pic:nvPicPr>
                  <pic:blipFill>
                    <a:blip r:embed="rId2"/>
                    <a:stretch>
                      <a:fillRect/>
                    </a:stretch>
                  </pic:blipFill>
                  <pic:spPr bwMode="auto">
                    <a:xfrm>
                      <a:off x="0" y="0"/>
                      <a:ext cx="6010910" cy="8175625"/>
                    </a:xfrm>
                    <a:prstGeom prst="rect">
                      <a:avLst/>
                    </a:prstGeom>
                  </pic:spPr>
                </pic:pic>
              </a:graphicData>
            </a:graphic>
          </wp:inline>
        </w:drawing>
      </w:r>
    </w:p>
    <w:p>
      <w:pPr>
        <w:pStyle w:val="Normal"/>
        <w:rPr>
          <w:rFonts w:ascii="Calibri" w:hAnsi="Calibri" w:cs="Calibri" w:asciiTheme="minorHAnsi" w:cstheme="minorHAnsi" w:hAnsiTheme="minorHAnsi"/>
          <w:b/>
          <w:b/>
          <w:sz w:val="22"/>
          <w:szCs w:val="22"/>
        </w:rPr>
      </w:pPr>
      <w:r>
        <w:rPr>
          <w:rFonts w:cs="Calibri" w:cstheme="minorHAnsi" w:ascii="Calibri" w:hAnsi="Calibri"/>
          <w:b/>
          <w:sz w:val="22"/>
          <w:szCs w:val="22"/>
        </w:rPr>
      </w:r>
      <w:r>
        <w:br w:type="page"/>
      </w:r>
    </w:p>
    <w:p>
      <w:pPr>
        <w:pStyle w:val="Normal"/>
        <w:keepLines/>
        <w:jc w:val="center"/>
        <w:rPr>
          <w:rFonts w:ascii="Calibri" w:hAnsi="Calibri" w:cs="Calibri" w:asciiTheme="minorHAnsi" w:cstheme="minorHAnsi" w:hAnsiTheme="minorHAnsi"/>
          <w:b/>
          <w:b/>
          <w:sz w:val="22"/>
          <w:szCs w:val="22"/>
        </w:rPr>
      </w:pPr>
      <w:r>
        <w:rPr>
          <w:rFonts w:cs="Calibri" w:cstheme="minorHAnsi" w:ascii="Calibri" w:hAnsi="Calibri"/>
          <w:b/>
          <w:sz w:val="22"/>
          <w:szCs w:val="22"/>
        </w:rPr>
      </w:r>
    </w:p>
    <w:p>
      <w:pPr>
        <w:pStyle w:val="Normal"/>
        <w:keepLines/>
        <w:jc w:val="center"/>
        <w:rPr>
          <w:rFonts w:ascii="Calibri" w:hAnsi="Calibri" w:cs="Calibri" w:asciiTheme="minorHAnsi" w:cstheme="minorHAnsi" w:hAnsiTheme="minorHAnsi"/>
          <w:b/>
          <w:b/>
          <w:sz w:val="22"/>
          <w:szCs w:val="22"/>
        </w:rPr>
      </w:pPr>
      <w:r>
        <w:rPr/>
        <w:drawing>
          <wp:inline distT="0" distB="0" distL="0" distR="0">
            <wp:extent cx="6029325" cy="8577580"/>
            <wp:effectExtent l="0" t="0" r="0" b="0"/>
            <wp:docPr id="2" name="Obrázek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
                    <pic:cNvPicPr>
                      <a:picLocks noChangeAspect="1" noChangeArrowheads="1"/>
                    </pic:cNvPicPr>
                  </pic:nvPicPr>
                  <pic:blipFill>
                    <a:blip r:embed="rId3"/>
                    <a:stretch>
                      <a:fillRect/>
                    </a:stretch>
                  </pic:blipFill>
                  <pic:spPr bwMode="auto">
                    <a:xfrm>
                      <a:off x="0" y="0"/>
                      <a:ext cx="6029325" cy="8577580"/>
                    </a:xfrm>
                    <a:prstGeom prst="rect">
                      <a:avLst/>
                    </a:prstGeom>
                  </pic:spPr>
                </pic:pic>
              </a:graphicData>
            </a:graphic>
          </wp:inline>
        </w:drawing>
      </w:r>
    </w:p>
    <w:p>
      <w:pPr>
        <w:pStyle w:val="Normal"/>
        <w:rPr>
          <w:rFonts w:ascii="Calibri" w:hAnsi="Calibri" w:cs="Calibri" w:asciiTheme="minorHAnsi" w:cstheme="minorHAnsi" w:hAnsiTheme="minorHAnsi"/>
          <w:b/>
          <w:b/>
          <w:sz w:val="22"/>
          <w:szCs w:val="22"/>
        </w:rPr>
      </w:pPr>
      <w:r>
        <w:rPr>
          <w:rFonts w:cs="Calibri" w:cstheme="minorHAnsi" w:ascii="Calibri" w:hAnsi="Calibri"/>
          <w:b/>
          <w:sz w:val="22"/>
          <w:szCs w:val="22"/>
        </w:rPr>
      </w:r>
      <w:r>
        <w:br w:type="page"/>
      </w:r>
    </w:p>
    <w:p>
      <w:pPr>
        <w:pStyle w:val="Normal"/>
        <w:keepLines/>
        <w:jc w:val="center"/>
        <w:rPr>
          <w:rFonts w:ascii="Calibri" w:hAnsi="Calibri" w:cs="Calibri" w:asciiTheme="minorHAnsi" w:cstheme="minorHAnsi" w:hAnsiTheme="minorHAnsi"/>
          <w:b/>
          <w:b/>
          <w:sz w:val="22"/>
          <w:szCs w:val="22"/>
        </w:rPr>
      </w:pPr>
      <w:r>
        <w:rPr>
          <w:rFonts w:cs="Calibri" w:cstheme="minorHAnsi" w:ascii="Calibri" w:hAnsi="Calibri"/>
          <w:b/>
          <w:sz w:val="22"/>
          <w:szCs w:val="22"/>
        </w:rPr>
      </w:r>
    </w:p>
    <w:p>
      <w:pPr>
        <w:pStyle w:val="Normal"/>
        <w:keepLines/>
        <w:jc w:val="center"/>
        <w:rPr>
          <w:rFonts w:ascii="Calibri" w:hAnsi="Calibri" w:cs="Calibri" w:asciiTheme="minorHAnsi" w:cstheme="minorHAnsi" w:hAnsiTheme="minorHAnsi"/>
          <w:b/>
          <w:b/>
          <w:sz w:val="22"/>
          <w:szCs w:val="22"/>
        </w:rPr>
      </w:pPr>
      <w:r>
        <w:rPr/>
        <w:drawing>
          <wp:inline distT="0" distB="0" distL="0" distR="0">
            <wp:extent cx="5974715" cy="8352155"/>
            <wp:effectExtent l="0" t="0" r="0" b="0"/>
            <wp:docPr id="3" name="Obrázek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
                    <pic:cNvPicPr>
                      <a:picLocks noChangeAspect="1" noChangeArrowheads="1"/>
                    </pic:cNvPicPr>
                  </pic:nvPicPr>
                  <pic:blipFill>
                    <a:blip r:embed="rId4"/>
                    <a:stretch>
                      <a:fillRect/>
                    </a:stretch>
                  </pic:blipFill>
                  <pic:spPr bwMode="auto">
                    <a:xfrm>
                      <a:off x="0" y="0"/>
                      <a:ext cx="5974715" cy="8352155"/>
                    </a:xfrm>
                    <a:prstGeom prst="rect">
                      <a:avLst/>
                    </a:prstGeom>
                  </pic:spPr>
                </pic:pic>
              </a:graphicData>
            </a:graphic>
          </wp:inline>
        </w:drawing>
      </w:r>
    </w:p>
    <w:p>
      <w:pPr>
        <w:pStyle w:val="Normal"/>
        <w:rPr>
          <w:rFonts w:ascii="Calibri" w:hAnsi="Calibri" w:cs="Calibri" w:asciiTheme="minorHAnsi" w:cstheme="minorHAnsi" w:hAnsiTheme="minorHAnsi"/>
          <w:b/>
          <w:b/>
          <w:sz w:val="22"/>
          <w:szCs w:val="22"/>
        </w:rPr>
      </w:pPr>
      <w:r>
        <w:rPr>
          <w:rFonts w:cs="Calibri" w:cstheme="minorHAnsi" w:ascii="Calibri" w:hAnsi="Calibri"/>
          <w:b/>
          <w:sz w:val="22"/>
          <w:szCs w:val="22"/>
        </w:rPr>
      </w:r>
      <w:r>
        <w:br w:type="page"/>
      </w:r>
    </w:p>
    <w:p>
      <w:pPr>
        <w:pStyle w:val="Normal"/>
        <w:keepLines/>
        <w:jc w:val="center"/>
        <w:rPr>
          <w:rFonts w:ascii="Calibri" w:hAnsi="Calibri" w:cs="Calibri" w:asciiTheme="minorHAnsi" w:cstheme="minorHAnsi" w:hAnsiTheme="minorHAnsi"/>
          <w:b/>
          <w:b/>
          <w:sz w:val="22"/>
          <w:szCs w:val="22"/>
        </w:rPr>
      </w:pPr>
      <w:r>
        <w:rPr>
          <w:rFonts w:cs="Calibri" w:cstheme="minorHAnsi" w:ascii="Calibri" w:hAnsi="Calibri"/>
          <w:b/>
          <w:sz w:val="22"/>
          <w:szCs w:val="22"/>
        </w:rPr>
      </w:r>
    </w:p>
    <w:p>
      <w:pPr>
        <w:pStyle w:val="Normal"/>
        <w:keepLines/>
        <w:jc w:val="center"/>
        <w:rPr/>
      </w:pPr>
      <w:r>
        <w:rPr/>
        <w:drawing>
          <wp:inline distT="0" distB="0" distL="0" distR="0">
            <wp:extent cx="5993130" cy="8431530"/>
            <wp:effectExtent l="0" t="0" r="0" b="0"/>
            <wp:docPr id="4" name="Obrázek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8" descr=""/>
                    <pic:cNvPicPr>
                      <a:picLocks noChangeAspect="1" noChangeArrowheads="1"/>
                    </pic:cNvPicPr>
                  </pic:nvPicPr>
                  <pic:blipFill>
                    <a:blip r:embed="rId5"/>
                    <a:stretch>
                      <a:fillRect/>
                    </a:stretch>
                  </pic:blipFill>
                  <pic:spPr bwMode="auto">
                    <a:xfrm>
                      <a:off x="0" y="0"/>
                      <a:ext cx="5993130" cy="8431530"/>
                    </a:xfrm>
                    <a:prstGeom prst="rect">
                      <a:avLst/>
                    </a:prstGeom>
                  </pic:spPr>
                </pic:pic>
              </a:graphicData>
            </a:graphic>
          </wp:inline>
        </w:drawing>
      </w:r>
    </w:p>
    <w:sectPr>
      <w:headerReference w:type="default" r:id="rId6"/>
      <w:footerReference w:type="default" r:id="rId7"/>
      <w:type w:val="nextPage"/>
      <w:pgSz w:w="11906" w:h="16838"/>
      <w:pgMar w:left="993" w:right="849" w:header="283" w:top="1677" w:footer="708" w:bottom="993" w:gutter="0"/>
      <w:pgNumType w:fmt="decimal"/>
      <w:formProt w:val="false"/>
      <w:textDirection w:val="lrTb"/>
      <w:docGrid w:type="default" w:linePitch="272" w:charSpace="20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Times New Roman">
    <w:charset w:val="ee"/>
    <w:family w:val="roman"/>
    <w:pitch w:val="variable"/>
  </w:font>
  <w:font w:name="Consolas">
    <w:charset w:val="ee"/>
    <w:family w:val="roman"/>
    <w:pitch w:val="variable"/>
  </w:font>
  <w:font w:name="Liberation Sans">
    <w:altName w:val="Arial"/>
    <w:charset w:val="ee"/>
    <w:family w:val="roman"/>
    <w:pitch w:val="variable"/>
  </w:font>
  <w:font w:name="Tahoma">
    <w:charset w:val="ee"/>
    <w:family w:val="roman"/>
    <w:pitch w:val="variable"/>
  </w:font>
  <w:font w:name="Calibri">
    <w:charset w:val="ee"/>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410494433"/>
    </w:sdtPr>
    <w:sdtContent>
      <w:p>
        <w:pPr>
          <w:pStyle w:val="Zhlav"/>
          <w:jc w:val="right"/>
          <w:rPr/>
        </w:pPr>
        <w:r>
          <w:rPr>
            <w:rFonts w:cs="Calibri" w:ascii="Calibri" w:hAnsi="Calibri" w:asciiTheme="minorHAnsi" w:cstheme="minorHAnsi" w:hAnsiTheme="minorHAnsi"/>
            <w:sz w:val="18"/>
            <w:szCs w:val="18"/>
          </w:rPr>
          <w:t xml:space="preserve">Stránka </w:t>
        </w:r>
        <w:r>
          <w:rPr>
            <w:rFonts w:cs="Calibri" w:ascii="Calibri" w:hAnsi="Calibri" w:asciiTheme="minorHAnsi" w:cstheme="minorHAnsi" w:hAnsiTheme="minorHAnsi"/>
            <w:sz w:val="18"/>
            <w:szCs w:val="18"/>
          </w:rPr>
          <w:fldChar w:fldCharType="begin"/>
        </w:r>
        <w:r>
          <w:instrText> PAGE </w:instrText>
        </w:r>
        <w:r>
          <w:fldChar w:fldCharType="separate"/>
        </w:r>
        <w:r>
          <w:t>8</w:t>
        </w:r>
        <w:r>
          <w:fldChar w:fldCharType="end"/>
        </w:r>
      </w:p>
    </w:sdtContent>
  </w:sdt>
  <w:p>
    <w:pPr>
      <w:pStyle w:val="Zpat"/>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both"/>
      <w:rPr>
        <w:rFonts w:ascii="Calibri" w:hAnsi="Calibri" w:cs="Calibri"/>
        <w:sz w:val="22"/>
        <w:szCs w:val="22"/>
      </w:rPr>
    </w:pPr>
    <w:r>
      <w:rPr>
        <w:rFonts w:cs="Calibri" w:ascii="Calibri" w:hAnsi="Calibri"/>
        <w:sz w:val="22"/>
        <w:szCs w:val="22"/>
      </w:rPr>
      <w:drawing>
        <wp:anchor behindDoc="1" distT="0" distB="0" distL="114300" distR="114300" simplePos="0" locked="0" layoutInCell="1" allowOverlap="1" relativeHeight="9">
          <wp:simplePos x="0" y="0"/>
          <wp:positionH relativeFrom="column">
            <wp:posOffset>58420</wp:posOffset>
          </wp:positionH>
          <wp:positionV relativeFrom="paragraph">
            <wp:posOffset>110490</wp:posOffset>
          </wp:positionV>
          <wp:extent cx="914400" cy="495300"/>
          <wp:effectExtent l="0" t="0" r="0" b="0"/>
          <wp:wrapNone/>
          <wp:docPr id="5" name="Obrázek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10" descr=""/>
                  <pic:cNvPicPr>
                    <a:picLocks noChangeAspect="1" noChangeArrowheads="1"/>
                  </pic:cNvPicPr>
                </pic:nvPicPr>
                <pic:blipFill>
                  <a:blip r:embed="rId1"/>
                  <a:stretch>
                    <a:fillRect/>
                  </a:stretch>
                </pic:blipFill>
                <pic:spPr bwMode="auto">
                  <a:xfrm>
                    <a:off x="0" y="0"/>
                    <a:ext cx="914400" cy="495300"/>
                  </a:xfrm>
                  <a:prstGeom prst="rect">
                    <a:avLst/>
                  </a:prstGeom>
                </pic:spPr>
              </pic:pic>
            </a:graphicData>
          </a:graphic>
        </wp:anchor>
      </w:drawing>
    </w:r>
  </w:p>
  <w:p>
    <w:pPr>
      <w:pStyle w:val="Normal"/>
      <w:spacing w:lineRule="atLeast" w:line="23"/>
      <w:ind w:left="1843" w:hanging="0"/>
      <w:jc w:val="center"/>
      <w:rPr>
        <w:rFonts w:ascii="Calibri" w:hAnsi="Calibri" w:cs="Calibri"/>
        <w:sz w:val="15"/>
        <w:szCs w:val="15"/>
      </w:rPr>
    </w:pPr>
    <w:r>
      <w:rPr>
        <w:rFonts w:cs="Calibri" w:ascii="Calibri" w:hAnsi="Calibri"/>
        <w:sz w:val="15"/>
        <w:szCs w:val="15"/>
      </w:rPr>
      <w:t>Severočeské doly a. s., se sídlem Boženy Němcové 5359, 430 01 Chomutov, IČO 49901982, zapsána v obchodním rejstříku vedeném Krajským soudem v Ústí nad Labem, oddíl B, vložka 495</w:t>
    </w:r>
  </w:p>
  <w:p>
    <w:pPr>
      <w:pStyle w:val="Zhlav"/>
      <w:rPr/>
    </w:pPr>
    <w:r>
      <w:rPr/>
    </w:r>
  </w:p>
  <w:p>
    <w:pPr>
      <w:pStyle w:val="Zhlav"/>
      <w:rPr/>
    </w:pPr>
    <w:r>
      <w:rPr/>
    </w:r>
  </w:p>
  <w:p>
    <w:pPr>
      <w:pStyle w:val="Zhlav"/>
      <w:jc w:val="right"/>
      <w:rPr>
        <w:rFonts w:ascii="Calibri" w:hAnsi="Calibri" w:asciiTheme="minorHAnsi" w:hAnsiTheme="minorHAnsi"/>
        <w:sz w:val="22"/>
        <w:szCs w:val="22"/>
      </w:rPr>
    </w:pPr>
    <w:r>
      <w:rPr>
        <w:rFonts w:ascii="Calibri" w:hAnsi="Calibri" w:asciiTheme="minorHAnsi" w:hAnsiTheme="minorHAnsi"/>
        <w:sz w:val="22"/>
        <w:szCs w:val="22"/>
      </w:rPr>
      <w:t>číslo Prodávajícího SAP: 2016/OOB/PU/06828</w:t>
    </w:r>
  </w:p>
</w:hdr>
</file>

<file path=word/settings.xml><?xml version="1.0" encoding="utf-8"?>
<w:settings xmlns:w="http://schemas.openxmlformats.org/wordprocessingml/2006/main">
  <w:zoom w:percent="10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cs-CZ"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cs-CZ" w:eastAsia="cs-CZ"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9" w:semiHidden="0" w:unhideWhenUsed="0" w:qFormat="1"/>
    <w:lsdException w:name="heading 3" w:uiPriority="0" w:semiHidden="0" w:unhideWhenUsed="0" w:qFormat="1"/>
    <w:lsdException w:name="heading 4" w:uiPriority="9" w:semiHidden="0" w:unhideWhenUsed="0" w:qFormat="1"/>
    <w:lsdException w:name="heading 5" w:uiPriority="9" w:semiHidden="0" w:unhideWhenUsed="0" w:qFormat="1"/>
    <w:lsdException w:name="heading 6" w:uiPriority="0" w:semiHidden="0" w:unhideWhenUsed="0" w:qFormat="1"/>
    <w:lsdException w:name="heading 7" w:uiPriority="9" w:semiHidden="0" w:unhideWhenUsed="0" w:qFormat="1"/>
    <w:lsdException w:name="heading 8" w:uiPriority="9"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w:uiPriority="0"/>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0"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jc w:val="left"/>
    </w:pPr>
    <w:rPr>
      <w:rFonts w:ascii="Times New Roman" w:hAnsi="Times New Roman" w:eastAsia="Times New Roman" w:cs="Times New Roman"/>
      <w:color w:val="00000A"/>
      <w:sz w:val="20"/>
      <w:szCs w:val="20"/>
      <w:lang w:val="cs-CZ" w:eastAsia="cs-CZ" w:bidi="ar-SA"/>
    </w:rPr>
  </w:style>
  <w:style w:type="paragraph" w:styleId="Nadpis1">
    <w:name w:val="Nadpis 1"/>
    <w:basedOn w:val="Normal"/>
    <w:qFormat/>
    <w:pPr>
      <w:keepNext/>
      <w:spacing w:before="240" w:after="60"/>
      <w:outlineLvl w:val="0"/>
    </w:pPr>
    <w:rPr>
      <w:b/>
      <w:sz w:val="32"/>
    </w:rPr>
  </w:style>
  <w:style w:type="paragraph" w:styleId="Nadpis2">
    <w:name w:val="Nadpis 2"/>
    <w:basedOn w:val="Normal"/>
    <w:qFormat/>
    <w:pPr>
      <w:keepNext/>
      <w:ind w:left="283" w:hanging="0"/>
      <w:jc w:val="both"/>
      <w:outlineLvl w:val="1"/>
    </w:pPr>
    <w:rPr>
      <w:b/>
      <w:sz w:val="24"/>
    </w:rPr>
  </w:style>
  <w:style w:type="paragraph" w:styleId="Nadpis3">
    <w:name w:val="Nadpis 3"/>
    <w:basedOn w:val="Normal"/>
    <w:qFormat/>
    <w:pPr>
      <w:keepNext/>
      <w:tabs>
        <w:tab w:val="center" w:pos="284" w:leader="none"/>
      </w:tabs>
      <w:jc w:val="center"/>
      <w:outlineLvl w:val="2"/>
    </w:pPr>
    <w:rPr>
      <w:b/>
      <w:sz w:val="24"/>
      <w:u w:val="single"/>
    </w:rPr>
  </w:style>
  <w:style w:type="paragraph" w:styleId="Nadpis4">
    <w:name w:val="Nadpis 4"/>
    <w:basedOn w:val="Normal"/>
    <w:qFormat/>
    <w:pPr>
      <w:keepNext/>
      <w:outlineLvl w:val="3"/>
    </w:pPr>
    <w:rPr>
      <w:sz w:val="24"/>
    </w:rPr>
  </w:style>
  <w:style w:type="paragraph" w:styleId="Nadpis5">
    <w:name w:val="Nadpis 5"/>
    <w:basedOn w:val="Normal"/>
    <w:qFormat/>
    <w:pPr>
      <w:keepNext/>
      <w:ind w:left="284" w:hanging="0"/>
      <w:outlineLvl w:val="4"/>
    </w:pPr>
    <w:rPr>
      <w:sz w:val="24"/>
    </w:rPr>
  </w:style>
  <w:style w:type="paragraph" w:styleId="Nadpis6">
    <w:name w:val="Nadpis 6"/>
    <w:basedOn w:val="Normal"/>
    <w:qFormat/>
    <w:pPr>
      <w:keepNext/>
      <w:jc w:val="center"/>
      <w:outlineLvl w:val="5"/>
    </w:pPr>
    <w:rPr>
      <w:sz w:val="24"/>
    </w:rPr>
  </w:style>
  <w:style w:type="paragraph" w:styleId="Nadpis7">
    <w:name w:val="Nadpis 7"/>
    <w:basedOn w:val="Normal"/>
    <w:qFormat/>
    <w:pPr>
      <w:keepNext/>
      <w:widowControl w:val="false"/>
      <w:jc w:val="center"/>
      <w:outlineLvl w:val="6"/>
    </w:pPr>
    <w:rPr>
      <w:b/>
      <w:sz w:val="24"/>
      <w:szCs w:val="24"/>
    </w:rPr>
  </w:style>
  <w:style w:type="paragraph" w:styleId="Nadpis8">
    <w:name w:val="Nadpis 8"/>
    <w:basedOn w:val="Normal"/>
    <w:qFormat/>
    <w:pPr>
      <w:keepNext/>
      <w:jc w:val="center"/>
      <w:outlineLvl w:val="7"/>
    </w:pPr>
    <w:rPr>
      <w:b/>
      <w:color w:val="000000"/>
      <w:sz w:val="36"/>
    </w:rPr>
  </w:style>
  <w:style w:type="character" w:styleId="DefaultParagraphFont" w:default="1">
    <w:name w:val="Default Paragraph Font"/>
    <w:uiPriority w:val="1"/>
    <w:semiHidden/>
    <w:unhideWhenUsed/>
    <w:qFormat/>
    <w:rPr/>
  </w:style>
  <w:style w:type="character" w:styleId="Pagenumber">
    <w:name w:val="page number"/>
    <w:basedOn w:val="DefaultParagraphFont"/>
    <w:semiHidden/>
    <w:qFormat/>
    <w:rPr/>
  </w:style>
  <w:style w:type="character" w:styleId="Annotationreference">
    <w:name w:val="annotation reference"/>
    <w:uiPriority w:val="99"/>
    <w:qFormat/>
    <w:rsid w:val="006a69f6"/>
    <w:rPr>
      <w:sz w:val="16"/>
      <w:szCs w:val="16"/>
    </w:rPr>
  </w:style>
  <w:style w:type="character" w:styleId="TextkomenteChar" w:customStyle="1">
    <w:name w:val="Text komentáře Char"/>
    <w:basedOn w:val="DefaultParagraphFont"/>
    <w:link w:val="Textkomente"/>
    <w:uiPriority w:val="99"/>
    <w:qFormat/>
    <w:rsid w:val="006a69f6"/>
    <w:rPr/>
  </w:style>
  <w:style w:type="character" w:styleId="PedmtkomenteChar" w:customStyle="1">
    <w:name w:val="Předmět komentáře Char"/>
    <w:basedOn w:val="TextkomenteChar"/>
    <w:link w:val="Pedmtkomente"/>
    <w:uiPriority w:val="99"/>
    <w:semiHidden/>
    <w:qFormat/>
    <w:rsid w:val="003e3335"/>
    <w:rPr>
      <w:b/>
      <w:bCs/>
    </w:rPr>
  </w:style>
  <w:style w:type="character" w:styleId="Zkladntext2Char" w:customStyle="1">
    <w:name w:val="Základní text 2 Char"/>
    <w:basedOn w:val="DefaultParagraphFont"/>
    <w:link w:val="Zkladntext2"/>
    <w:uiPriority w:val="99"/>
    <w:semiHidden/>
    <w:qFormat/>
    <w:rsid w:val="001442be"/>
    <w:rPr/>
  </w:style>
  <w:style w:type="character" w:styleId="ProsttextChar" w:customStyle="1">
    <w:name w:val="Prostý text Char"/>
    <w:basedOn w:val="DefaultParagraphFont"/>
    <w:link w:val="Prosttext"/>
    <w:uiPriority w:val="99"/>
    <w:qFormat/>
    <w:rsid w:val="00ac130a"/>
    <w:rPr>
      <w:rFonts w:ascii="Consolas" w:hAnsi="Consolas" w:eastAsia="Calibri"/>
      <w:sz w:val="21"/>
      <w:szCs w:val="21"/>
      <w:lang w:eastAsia="en-US"/>
    </w:rPr>
  </w:style>
  <w:style w:type="character" w:styleId="ZpatChar" w:customStyle="1">
    <w:name w:val="Zápatí Char"/>
    <w:basedOn w:val="DefaultParagraphFont"/>
    <w:link w:val="Zpat"/>
    <w:uiPriority w:val="99"/>
    <w:qFormat/>
    <w:rsid w:val="00f2477e"/>
    <w:rPr/>
  </w:style>
  <w:style w:type="character" w:styleId="ZhlavChar" w:customStyle="1">
    <w:name w:val="Záhlaví Char"/>
    <w:basedOn w:val="DefaultParagraphFont"/>
    <w:link w:val="Zhlav"/>
    <w:uiPriority w:val="99"/>
    <w:qFormat/>
    <w:rsid w:val="00f2477e"/>
    <w:rPr/>
  </w:style>
  <w:style w:type="character" w:styleId="Internetovodkaz">
    <w:name w:val="Internetový odkaz"/>
    <w:basedOn w:val="DefaultParagraphFont"/>
    <w:uiPriority w:val="99"/>
    <w:unhideWhenUsed/>
    <w:rsid w:val="0028404d"/>
    <w:rPr>
      <w:color w:val="0000FF" w:themeColor="hyperlink"/>
      <w:u w:val="single"/>
    </w:rPr>
  </w:style>
  <w:style w:type="character" w:styleId="Preformatted" w:customStyle="1">
    <w:name w:val="preformatted"/>
    <w:basedOn w:val="DefaultParagraphFont"/>
    <w:qFormat/>
    <w:rsid w:val="004654c0"/>
    <w:rPr/>
  </w:style>
  <w:style w:type="character" w:styleId="ListLabel1">
    <w:name w:val="ListLabel 1"/>
    <w:qFormat/>
    <w:rPr>
      <w:b w:val="false"/>
      <w:i w:val="false"/>
      <w:sz w:val="24"/>
    </w:rPr>
  </w:style>
  <w:style w:type="character" w:styleId="ListLabel2">
    <w:name w:val="ListLabel 2"/>
    <w:qFormat/>
    <w:rPr>
      <w:b w:val="false"/>
    </w:rPr>
  </w:style>
  <w:style w:type="character" w:styleId="ListLabel3">
    <w:name w:val="ListLabel 3"/>
    <w:qFormat/>
    <w:rPr>
      <w:b w:val="false"/>
      <w:i w:val="false"/>
    </w:rPr>
  </w:style>
  <w:style w:type="character" w:styleId="ListLabel4">
    <w:name w:val="ListLabel 4"/>
    <w:qFormat/>
    <w:rPr>
      <w:b w:val="false"/>
      <w:i w:val="false"/>
      <w:color w:val="00000A"/>
    </w:rPr>
  </w:style>
  <w:style w:type="character" w:styleId="ListLabel5">
    <w:name w:val="ListLabel 5"/>
    <w:qFormat/>
    <w:rPr>
      <w:sz w:val="22"/>
      <w:szCs w:val="22"/>
    </w:rPr>
  </w:style>
  <w:style w:type="character" w:styleId="ListLabel6">
    <w:name w:val="ListLabel 6"/>
    <w:qFormat/>
    <w:rPr>
      <w:rFonts w:cs="Calibri"/>
      <w:b w:val="false"/>
    </w:rPr>
  </w:style>
  <w:style w:type="character" w:styleId="ListLabel7">
    <w:name w:val="ListLabel 7"/>
    <w:qFormat/>
    <w:rPr>
      <w:rFonts w:cs="Calibri"/>
      <w:b w:val="false"/>
      <w:sz w:val="15"/>
      <w:szCs w:val="15"/>
    </w:rPr>
  </w:style>
  <w:style w:type="character" w:styleId="ListLabel8">
    <w:name w:val="ListLabel 8"/>
    <w:qFormat/>
    <w:rPr>
      <w:b/>
    </w:rPr>
  </w:style>
  <w:style w:type="character" w:styleId="ListLabel9">
    <w:name w:val="ListLabel 9"/>
    <w:qFormat/>
    <w:rPr>
      <w:rFonts w:eastAsia="Times New Roman" w:cs="Calibri"/>
    </w:rPr>
  </w:style>
  <w:style w:type="character" w:styleId="ListLabel10">
    <w:name w:val="ListLabel 10"/>
    <w:qFormat/>
    <w:rPr>
      <w:rFonts w:cs="Courier New"/>
    </w:rPr>
  </w:style>
  <w:style w:type="paragraph" w:styleId="Nadpis">
    <w:name w:val="Nadpis"/>
    <w:basedOn w:val="Normal"/>
    <w:next w:val="Tlotextu"/>
    <w:qFormat/>
    <w:pPr>
      <w:keepNext/>
      <w:spacing w:before="240" w:after="120"/>
    </w:pPr>
    <w:rPr>
      <w:rFonts w:ascii="Liberation Sans" w:hAnsi="Liberation Sans" w:eastAsia="Microsoft YaHei" w:cs="Arial"/>
      <w:sz w:val="28"/>
      <w:szCs w:val="28"/>
    </w:rPr>
  </w:style>
  <w:style w:type="paragraph" w:styleId="Tlotextu">
    <w:name w:val="Tělo textu"/>
    <w:basedOn w:val="Normal"/>
    <w:semiHidden/>
    <w:pPr>
      <w:tabs>
        <w:tab w:val="center" w:pos="284" w:leader="none"/>
      </w:tabs>
      <w:jc w:val="both"/>
    </w:pPr>
    <w:rPr>
      <w:sz w:val="24"/>
    </w:rPr>
  </w:style>
  <w:style w:type="paragraph" w:styleId="Seznam">
    <w:name w:val="Seznam"/>
    <w:basedOn w:val="Tlotextu"/>
    <w:semiHidden/>
    <w:pPr>
      <w:suppressAutoHyphens w:val="true"/>
    </w:pPr>
    <w:rPr>
      <w:rFonts w:cs="Tahoma"/>
      <w:lang w:eastAsia="ar-SA"/>
    </w:rPr>
  </w:style>
  <w:style w:type="paragraph" w:styleId="Popisek">
    <w:name w:val="Popisek"/>
    <w:basedOn w:val="Normal"/>
    <w:pPr>
      <w:suppressLineNumbers/>
      <w:spacing w:before="120" w:after="120"/>
    </w:pPr>
    <w:rPr>
      <w:rFonts w:cs="Arial"/>
      <w:i/>
      <w:iCs/>
      <w:sz w:val="24"/>
      <w:szCs w:val="24"/>
    </w:rPr>
  </w:style>
  <w:style w:type="paragraph" w:styleId="Rejstk">
    <w:name w:val="Rejstřík"/>
    <w:basedOn w:val="Normal"/>
    <w:qFormat/>
    <w:pPr>
      <w:suppressLineNumbers/>
    </w:pPr>
    <w:rPr>
      <w:rFonts w:cs="Arial"/>
    </w:rPr>
  </w:style>
  <w:style w:type="paragraph" w:styleId="Odrazka" w:customStyle="1">
    <w:name w:val="odrazka"/>
    <w:basedOn w:val="Normal"/>
    <w:qFormat/>
    <w:pPr>
      <w:ind w:firstLine="340"/>
    </w:pPr>
    <w:rPr>
      <w:sz w:val="24"/>
    </w:rPr>
  </w:style>
  <w:style w:type="paragraph" w:styleId="Zpat">
    <w:name w:val="Zápatí"/>
    <w:basedOn w:val="Normal"/>
    <w:link w:val="ZpatChar"/>
    <w:uiPriority w:val="99"/>
    <w:pPr>
      <w:tabs>
        <w:tab w:val="center" w:pos="4536" w:leader="none"/>
        <w:tab w:val="right" w:pos="9072" w:leader="none"/>
      </w:tabs>
    </w:pPr>
    <w:rPr/>
  </w:style>
  <w:style w:type="paragraph" w:styleId="Odsazentlatextu">
    <w:name w:val="Odsazení těla textu"/>
    <w:basedOn w:val="Normal"/>
    <w:semiHidden/>
    <w:pPr>
      <w:ind w:left="2268" w:hanging="2268"/>
    </w:pPr>
    <w:rPr>
      <w:sz w:val="24"/>
    </w:rPr>
  </w:style>
  <w:style w:type="paragraph" w:styleId="BodyTextIndent2">
    <w:name w:val="Body Text Indent 2"/>
    <w:basedOn w:val="Normal"/>
    <w:semiHidden/>
    <w:qFormat/>
    <w:pPr>
      <w:ind w:left="284" w:hanging="284"/>
      <w:jc w:val="both"/>
    </w:pPr>
    <w:rPr>
      <w:sz w:val="24"/>
    </w:rPr>
  </w:style>
  <w:style w:type="paragraph" w:styleId="Zhlav">
    <w:name w:val="Záhlaví"/>
    <w:basedOn w:val="Normal"/>
    <w:link w:val="ZhlavChar"/>
    <w:uiPriority w:val="99"/>
    <w:pPr>
      <w:tabs>
        <w:tab w:val="center" w:pos="4536" w:leader="none"/>
        <w:tab w:val="right" w:pos="9072" w:leader="none"/>
      </w:tabs>
    </w:pPr>
    <w:rPr/>
  </w:style>
  <w:style w:type="paragraph" w:styleId="BodyTextIndent3">
    <w:name w:val="Body Text Indent 3"/>
    <w:basedOn w:val="Normal"/>
    <w:semiHidden/>
    <w:qFormat/>
    <w:pPr>
      <w:ind w:left="851" w:hanging="491"/>
      <w:jc w:val="both"/>
    </w:pPr>
    <w:rPr>
      <w:sz w:val="24"/>
    </w:rPr>
  </w:style>
  <w:style w:type="paragraph" w:styleId="Obsahrmce" w:customStyle="1">
    <w:name w:val="Obsah rámce"/>
    <w:basedOn w:val="Tlotextu"/>
    <w:qFormat/>
    <w:pPr>
      <w:suppressAutoHyphens w:val="true"/>
    </w:pPr>
    <w:rPr>
      <w:lang w:eastAsia="ar-SA"/>
    </w:rPr>
  </w:style>
  <w:style w:type="paragraph" w:styleId="BalloonText">
    <w:name w:val="Balloon Text"/>
    <w:basedOn w:val="Normal"/>
    <w:semiHidden/>
    <w:qFormat/>
    <w:pPr/>
    <w:rPr>
      <w:rFonts w:ascii="Tahoma" w:hAnsi="Tahoma" w:cs="Tahoma"/>
      <w:sz w:val="16"/>
      <w:szCs w:val="16"/>
    </w:rPr>
  </w:style>
  <w:style w:type="paragraph" w:styleId="Annotationtext">
    <w:name w:val="annotation text"/>
    <w:basedOn w:val="Normal"/>
    <w:link w:val="TextkomenteChar"/>
    <w:uiPriority w:val="99"/>
    <w:qFormat/>
    <w:rsid w:val="006a69f6"/>
    <w:pPr/>
    <w:rPr/>
  </w:style>
  <w:style w:type="paragraph" w:styleId="Annotationsubject">
    <w:name w:val="annotation subject"/>
    <w:basedOn w:val="Annotationtext"/>
    <w:link w:val="PedmtkomenteChar"/>
    <w:uiPriority w:val="99"/>
    <w:semiHidden/>
    <w:unhideWhenUsed/>
    <w:qFormat/>
    <w:rsid w:val="003e3335"/>
    <w:pPr/>
    <w:rPr>
      <w:b/>
      <w:bCs/>
    </w:rPr>
  </w:style>
  <w:style w:type="paragraph" w:styleId="BodyText2">
    <w:name w:val="Body Text 2"/>
    <w:basedOn w:val="Normal"/>
    <w:link w:val="Zkladntext2Char"/>
    <w:uiPriority w:val="99"/>
    <w:semiHidden/>
    <w:unhideWhenUsed/>
    <w:qFormat/>
    <w:rsid w:val="001442be"/>
    <w:pPr>
      <w:spacing w:lineRule="auto" w:line="480" w:before="0" w:after="120"/>
    </w:pPr>
    <w:rPr/>
  </w:style>
  <w:style w:type="paragraph" w:styleId="Revision">
    <w:name w:val="Revision"/>
    <w:uiPriority w:val="99"/>
    <w:semiHidden/>
    <w:qFormat/>
    <w:rsid w:val="000d187b"/>
    <w:pPr>
      <w:widowControl/>
      <w:bidi w:val="0"/>
      <w:jc w:val="left"/>
    </w:pPr>
    <w:rPr>
      <w:rFonts w:ascii="Times New Roman" w:hAnsi="Times New Roman" w:eastAsia="Times New Roman" w:cs="Times New Roman"/>
      <w:color w:val="00000A"/>
      <w:sz w:val="20"/>
      <w:szCs w:val="20"/>
      <w:lang w:val="cs-CZ" w:eastAsia="cs-CZ" w:bidi="ar-SA"/>
    </w:rPr>
  </w:style>
  <w:style w:type="paragraph" w:styleId="NoSpacing">
    <w:name w:val="No Spacing"/>
    <w:qFormat/>
    <w:rsid w:val="00691a76"/>
    <w:pPr>
      <w:widowControl/>
      <w:bidi w:val="0"/>
      <w:jc w:val="left"/>
    </w:pPr>
    <w:rPr>
      <w:rFonts w:ascii="Calibri" w:hAnsi="Calibri" w:eastAsia="Calibri" w:cs="Times New Roman"/>
      <w:color w:val="00000A"/>
      <w:sz w:val="22"/>
      <w:szCs w:val="22"/>
      <w:lang w:val="cs-CZ" w:eastAsia="en-US" w:bidi="ar-SA"/>
    </w:rPr>
  </w:style>
  <w:style w:type="paragraph" w:styleId="ListParagraph">
    <w:name w:val="List Paragraph"/>
    <w:basedOn w:val="Normal"/>
    <w:uiPriority w:val="34"/>
    <w:qFormat/>
    <w:rsid w:val="00d1177d"/>
    <w:pPr>
      <w:spacing w:before="0" w:after="0"/>
      <w:ind w:left="720" w:hanging="0"/>
      <w:contextualSpacing/>
    </w:pPr>
    <w:rPr/>
  </w:style>
  <w:style w:type="paragraph" w:styleId="PlainText">
    <w:name w:val="Plain Text"/>
    <w:basedOn w:val="Normal"/>
    <w:link w:val="ProsttextChar"/>
    <w:uiPriority w:val="99"/>
    <w:unhideWhenUsed/>
    <w:qFormat/>
    <w:rsid w:val="00ac130a"/>
    <w:pPr/>
    <w:rPr>
      <w:rFonts w:ascii="Consolas" w:hAnsi="Consolas" w:eastAsia="Calibri"/>
      <w:sz w:val="21"/>
      <w:szCs w:val="21"/>
      <w:lang w:eastAsia="en-US"/>
    </w:rPr>
  </w:style>
  <w:style w:type="paragraph" w:styleId="Quotations">
    <w:name w:val="Quotations"/>
    <w:basedOn w:val="Normal"/>
    <w:qFormat/>
    <w:pPr/>
    <w:rPr/>
  </w:style>
  <w:style w:type="paragraph" w:styleId="Nzev">
    <w:name w:val="Název"/>
    <w:basedOn w:val="Nadpis"/>
    <w:pPr/>
    <w:rPr/>
  </w:style>
  <w:style w:type="paragraph" w:styleId="Podtitul">
    <w:name w:val="Podtitul"/>
    <w:basedOn w:val="Nadpis"/>
    <w:pPr/>
    <w:rPr/>
  </w:style>
  <w:style w:type="numbering" w:styleId="NoList" w:default="1">
    <w:name w:val="No List"/>
    <w:uiPriority w:val="99"/>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table" w:styleId="Mkatabulky">
    <w:name w:val="Table Grid"/>
    <w:basedOn w:val="Normlntabulka"/>
    <w:uiPriority w:val="59"/>
    <w:rsid w:val="00572d7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5.png"/>
</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08D520-DD0F-4B6B-B15A-0EF8E0292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Application>LibreOffice/5.0.0.5$Windows_x86 LibreOffice_project/1b1a90865e348b492231e1c451437d7a15bb262b</Application>
  <Paragraphs>131</Paragraphs>
  <Company>Severočeské doly a.s.</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2016-12-14T08:11:00Z</dcterms:created>
  <dc:creator>Ing. Václav Kratochvíl</dc:creator>
  <dc:language>cs-CZ</dc:language>
  <cp:lastModifiedBy>Jindra Dvořáková</cp:lastModifiedBy>
  <cp:lastPrinted>2014-10-06T12:44:00Z</cp:lastPrinted>
  <dcterms:modified xsi:type="dcterms:W3CDTF">2017-03-30T10:36:15Z</dcterms:modified>
  <cp:revision>6</cp:revision>
  <dc:title>KUPNÍ SMLOUVA</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Severočeské doly a.s.</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