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11.08.2021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26499,00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26499,00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Holice v Čechách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39023,00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Poběžovice u Holic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20091,00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17.05.2022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2154,00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61268,00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10 023,36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10 023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25 nájemní smlouvy č. 45N03/44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15.12.2022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