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4D0" w14:textId="5EBAC875" w:rsidR="00DF7770" w:rsidRPr="00DF7770" w:rsidRDefault="00F73C30" w:rsidP="00A43D6A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A43D6A">
        <w:rPr>
          <w:rStyle w:val="NzevChar"/>
        </w:rPr>
        <w:t>zajištění informačně-propagační kampaně nové hlavní nádraží brno</w:t>
      </w:r>
    </w:p>
    <w:p w14:paraId="4EDF271A" w14:textId="75AF492C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 xml:space="preserve">uzavřená podle § </w:t>
      </w:r>
      <w:r w:rsidR="00A43D6A">
        <w:t>1746</w:t>
      </w:r>
      <w:r>
        <w:t xml:space="preserve"> </w:t>
      </w:r>
      <w:r w:rsidR="00A43D6A">
        <w:t xml:space="preserve">odst. 2 </w:t>
      </w:r>
      <w:r>
        <w:t xml:space="preserve">a následujících zákona č. 89/2012 Sb., občanský zákoník, </w:t>
      </w:r>
      <w:r w:rsidR="00DE1C61">
        <w:br/>
      </w:r>
      <w:r>
        <w:t>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504CA6F2" w14:textId="77777777" w:rsidR="00A71E11" w:rsidRDefault="00A71E11" w:rsidP="00A71E11">
      <w:pPr>
        <w:pStyle w:val="SML1"/>
        <w:numPr>
          <w:ilvl w:val="0"/>
          <w:numId w:val="21"/>
        </w:numPr>
        <w:spacing w:before="120"/>
        <w:ind w:left="709" w:hanging="709"/>
      </w:pPr>
      <w:r>
        <w:t>Smluvní strany a jejich postavení</w:t>
      </w:r>
    </w:p>
    <w:p w14:paraId="27AD6396" w14:textId="77777777" w:rsidR="00A71E11" w:rsidRDefault="00A71E11" w:rsidP="00A71E11">
      <w:pPr>
        <w:pStyle w:val="SML11"/>
        <w:numPr>
          <w:ilvl w:val="1"/>
          <w:numId w:val="21"/>
        </w:numPr>
        <w:ind w:hanging="792"/>
        <w:rPr>
          <w:rStyle w:val="NormalUnderlined"/>
        </w:rPr>
      </w:pPr>
      <w:bookmarkStart w:id="0" w:name="_Ref47015148"/>
      <w:r>
        <w:rPr>
          <w:rStyle w:val="NormalUnderlined"/>
        </w:rPr>
        <w:t>Kancelář architekta města Brna, p</w:t>
      </w:r>
      <w:bookmarkEnd w:id="0"/>
      <w:r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A71E11" w14:paraId="0D53F846" w14:textId="77777777">
        <w:trPr>
          <w:divId w:val="1202787670"/>
        </w:trPr>
        <w:tc>
          <w:tcPr>
            <w:tcW w:w="1829" w:type="pct"/>
            <w:hideMark/>
          </w:tcPr>
          <w:p w14:paraId="41D24AE2" w14:textId="77777777" w:rsidR="00A71E11" w:rsidRDefault="00A71E11" w:rsidP="00A71E11">
            <w:pPr>
              <w:spacing w:after="0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  <w:hideMark/>
          </w:tcPr>
          <w:p w14:paraId="3B8F8E54" w14:textId="77777777" w:rsidR="00A71E11" w:rsidRDefault="00A71E11" w:rsidP="00A71E11">
            <w:pPr>
              <w:spacing w:after="0"/>
            </w:pPr>
            <w:r>
              <w:t>Zelný trh 331/13, 602 00 Brno</w:t>
            </w:r>
          </w:p>
        </w:tc>
      </w:tr>
      <w:tr w:rsidR="00A71E11" w14:paraId="52BE8D42" w14:textId="77777777">
        <w:trPr>
          <w:divId w:val="1202787670"/>
        </w:trPr>
        <w:tc>
          <w:tcPr>
            <w:tcW w:w="1829" w:type="pct"/>
            <w:hideMark/>
          </w:tcPr>
          <w:p w14:paraId="69683B0B" w14:textId="77777777" w:rsidR="00A71E11" w:rsidRDefault="00A71E11" w:rsidP="00A71E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  <w:hideMark/>
          </w:tcPr>
          <w:p w14:paraId="5EADF5E0" w14:textId="77777777" w:rsidR="00A71E11" w:rsidRDefault="00A71E11" w:rsidP="00A71E11">
            <w:pPr>
              <w:spacing w:after="0"/>
            </w:pPr>
            <w:r>
              <w:t>05128820</w:t>
            </w:r>
          </w:p>
        </w:tc>
      </w:tr>
      <w:tr w:rsidR="00A71E11" w14:paraId="2C3B7A3F" w14:textId="77777777">
        <w:trPr>
          <w:divId w:val="1202787670"/>
        </w:trPr>
        <w:tc>
          <w:tcPr>
            <w:tcW w:w="1829" w:type="pct"/>
            <w:hideMark/>
          </w:tcPr>
          <w:p w14:paraId="733DF29E" w14:textId="77777777" w:rsidR="00A71E11" w:rsidRDefault="00A71E11" w:rsidP="00A71E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  <w:hideMark/>
          </w:tcPr>
          <w:p w14:paraId="2A9188D7" w14:textId="77777777" w:rsidR="00A71E11" w:rsidRDefault="00A71E11" w:rsidP="00A71E11">
            <w:pPr>
              <w:spacing w:after="0"/>
            </w:pPr>
            <w:r>
              <w:t>CZ05128820</w:t>
            </w:r>
          </w:p>
        </w:tc>
      </w:tr>
      <w:tr w:rsidR="00A71E11" w14:paraId="1242EE24" w14:textId="77777777">
        <w:trPr>
          <w:divId w:val="1202787670"/>
        </w:trPr>
        <w:tc>
          <w:tcPr>
            <w:tcW w:w="1829" w:type="pct"/>
            <w:hideMark/>
          </w:tcPr>
          <w:p w14:paraId="00CD8A13" w14:textId="77777777" w:rsidR="00A71E11" w:rsidRDefault="00A71E11" w:rsidP="00A71E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8369D71" w14:textId="77777777" w:rsidR="00A71E11" w:rsidRDefault="00A71E11" w:rsidP="00A71E11">
            <w:pPr>
              <w:spacing w:after="0"/>
            </w:pPr>
            <w:r>
              <w:t>příspěvková organizace zapsaná v obchodním rejstříku pod sp. zn. Pr1951 vedenou u Krajského soudu v Brně</w:t>
            </w:r>
          </w:p>
        </w:tc>
      </w:tr>
      <w:tr w:rsidR="00A71E11" w14:paraId="57D8DAC4" w14:textId="77777777">
        <w:trPr>
          <w:divId w:val="1202787670"/>
        </w:trPr>
        <w:tc>
          <w:tcPr>
            <w:tcW w:w="1829" w:type="pct"/>
            <w:hideMark/>
          </w:tcPr>
          <w:p w14:paraId="2CB6A436" w14:textId="77777777" w:rsidR="00A71E11" w:rsidRDefault="00A71E11" w:rsidP="00A71E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Zástupce:</w:t>
            </w:r>
          </w:p>
        </w:tc>
        <w:tc>
          <w:tcPr>
            <w:tcW w:w="3171" w:type="pct"/>
            <w:hideMark/>
          </w:tcPr>
          <w:p w14:paraId="75C669E1" w14:textId="77777777" w:rsidR="00A71E11" w:rsidRDefault="00A71E11" w:rsidP="00A71E11">
            <w:pPr>
              <w:spacing w:after="0"/>
            </w:pPr>
            <w:r>
              <w:t>doc. Ing. arch. Michal Sedláček, ředitel</w:t>
            </w:r>
          </w:p>
        </w:tc>
      </w:tr>
      <w:tr w:rsidR="00A71E11" w14:paraId="5D909235" w14:textId="77777777">
        <w:trPr>
          <w:divId w:val="1202787670"/>
        </w:trPr>
        <w:tc>
          <w:tcPr>
            <w:tcW w:w="1829" w:type="pct"/>
            <w:hideMark/>
          </w:tcPr>
          <w:p w14:paraId="354D7F20" w14:textId="77777777" w:rsidR="00A71E11" w:rsidRDefault="00A71E11" w:rsidP="00A71E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  <w:hideMark/>
          </w:tcPr>
          <w:p w14:paraId="7912B401" w14:textId="77777777" w:rsidR="00A71E11" w:rsidRDefault="00A71E11" w:rsidP="00A71E11">
            <w:pPr>
              <w:spacing w:after="0"/>
            </w:pPr>
            <w:r>
              <w:t>2001018746/2010</w:t>
            </w:r>
          </w:p>
        </w:tc>
      </w:tr>
      <w:tr w:rsidR="001A6732" w14:paraId="56729701" w14:textId="77777777">
        <w:trPr>
          <w:divId w:val="1202787670"/>
        </w:trPr>
        <w:tc>
          <w:tcPr>
            <w:tcW w:w="1829" w:type="pct"/>
            <w:hideMark/>
          </w:tcPr>
          <w:p w14:paraId="0E45E13C" w14:textId="56419AD5" w:rsidR="001A6732" w:rsidRDefault="001A6732" w:rsidP="001A67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  <w:hideMark/>
          </w:tcPr>
          <w:p w14:paraId="29DE7671" w14:textId="067163F4" w:rsidR="001A6732" w:rsidRDefault="00482F15" w:rsidP="001A6732">
            <w:pPr>
              <w:spacing w:after="0"/>
            </w:pPr>
            <w:proofErr w:type="spellStart"/>
            <w:r>
              <w:t>xxxxx</w:t>
            </w:r>
            <w:proofErr w:type="spellEnd"/>
          </w:p>
        </w:tc>
      </w:tr>
      <w:tr w:rsidR="001A6732" w14:paraId="1B863312" w14:textId="77777777">
        <w:trPr>
          <w:divId w:val="1202787670"/>
        </w:trPr>
        <w:tc>
          <w:tcPr>
            <w:tcW w:w="1829" w:type="pct"/>
            <w:hideMark/>
          </w:tcPr>
          <w:p w14:paraId="0517E5EC" w14:textId="296C3840" w:rsidR="001A6732" w:rsidRDefault="001A6732" w:rsidP="001A6732">
            <w:pPr>
              <w:spacing w:after="0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  <w:hideMark/>
          </w:tcPr>
          <w:p w14:paraId="00DC3913" w14:textId="3BAF33B1" w:rsidR="001A6732" w:rsidRDefault="00482F15" w:rsidP="001A6732">
            <w:pPr>
              <w:spacing w:after="0"/>
            </w:pPr>
            <w:proofErr w:type="spellStart"/>
            <w:r>
              <w:t>xxxxx</w:t>
            </w:r>
            <w:proofErr w:type="spellEnd"/>
          </w:p>
        </w:tc>
      </w:tr>
      <w:tr w:rsidR="001A6732" w14:paraId="3D9CAFEA" w14:textId="77777777">
        <w:trPr>
          <w:divId w:val="1202787670"/>
          <w:trHeight w:val="52"/>
        </w:trPr>
        <w:tc>
          <w:tcPr>
            <w:tcW w:w="1829" w:type="pct"/>
            <w:hideMark/>
          </w:tcPr>
          <w:p w14:paraId="0661F09E" w14:textId="40E995B2" w:rsidR="001A6732" w:rsidRDefault="001A6732" w:rsidP="001A67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  <w:hideMark/>
          </w:tcPr>
          <w:p w14:paraId="7658896A" w14:textId="3F07C26F" w:rsidR="001A6732" w:rsidRDefault="00482F15" w:rsidP="001A6732">
            <w:pPr>
              <w:spacing w:after="0"/>
            </w:pPr>
            <w:proofErr w:type="spellStart"/>
            <w:r>
              <w:t>xxxxx</w:t>
            </w:r>
            <w:proofErr w:type="spellEnd"/>
          </w:p>
        </w:tc>
      </w:tr>
    </w:tbl>
    <w:p w14:paraId="3F1584BE" w14:textId="77777777" w:rsidR="00A71E11" w:rsidRDefault="00A71E11" w:rsidP="00A71E11">
      <w:pPr>
        <w:ind w:left="708"/>
        <w:rPr>
          <w:rStyle w:val="NormalUnderlined"/>
          <w:rFonts w:eastAsia="Calibri" w:cs="Times New Roman"/>
        </w:rPr>
      </w:pPr>
      <w:r>
        <w:t>(dále jen „</w:t>
      </w:r>
      <w:r>
        <w:rPr>
          <w:rStyle w:val="NormalBold"/>
        </w:rPr>
        <w:t>Objednatel</w:t>
      </w:r>
      <w:r>
        <w:t>“)</w:t>
      </w:r>
    </w:p>
    <w:p w14:paraId="3792339B" w14:textId="1521C9FB" w:rsidR="00A71E11" w:rsidRPr="00510D4A" w:rsidRDefault="00510D4A" w:rsidP="00A71E11">
      <w:pPr>
        <w:pStyle w:val="SML11"/>
        <w:numPr>
          <w:ilvl w:val="1"/>
          <w:numId w:val="21"/>
        </w:numPr>
        <w:ind w:hanging="792"/>
        <w:rPr>
          <w:rStyle w:val="NormalUnderlined"/>
          <w:rFonts w:eastAsiaTheme="minorHAnsi" w:cstheme="minorBidi"/>
          <w:szCs w:val="22"/>
        </w:rPr>
      </w:pPr>
      <w:r w:rsidRPr="00510D4A">
        <w:rPr>
          <w:u w:val="single"/>
        </w:rPr>
        <w:t>Ogilvy</w:t>
      </w:r>
      <w:r w:rsidR="00A71E11" w:rsidRPr="00510D4A">
        <w:rPr>
          <w:u w:val="single"/>
        </w:rPr>
        <w:t>, s.r.o.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032E23FD" w14:textId="5E74BFD7" w:rsidR="00EB77D0" w:rsidRPr="00DE1C61" w:rsidRDefault="0056396F" w:rsidP="007D7A05">
            <w:pPr>
              <w:spacing w:after="0" w:line="257" w:lineRule="auto"/>
            </w:pPr>
            <w:r w:rsidRPr="00DE1C61">
              <w:t>Přívozní 2A/1064, 170 00 Praha 7</w:t>
            </w:r>
          </w:p>
        </w:tc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5B12347A" w14:textId="428D7179" w:rsidR="00EB77D0" w:rsidRPr="00DE1C61" w:rsidRDefault="0056396F" w:rsidP="007D7A05">
            <w:pPr>
              <w:spacing w:after="0" w:line="257" w:lineRule="auto"/>
            </w:pPr>
            <w:r w:rsidRPr="00DE1C61">
              <w:t>25120158</w:t>
            </w:r>
          </w:p>
        </w:tc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65C925A4" w14:textId="01E86224" w:rsidR="00EB77D0" w:rsidRPr="00DE1C61" w:rsidRDefault="00A71E11" w:rsidP="007D7A05">
            <w:pPr>
              <w:spacing w:after="0" w:line="257" w:lineRule="auto"/>
            </w:pPr>
            <w:r w:rsidRPr="00DE1C61">
              <w:t>CZ</w:t>
            </w:r>
            <w:r w:rsidR="0056396F" w:rsidRPr="00DE1C61">
              <w:t>25120158</w:t>
            </w:r>
          </w:p>
        </w:tc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67A5E499" w:rsidR="00EB77D0" w:rsidRPr="00DE1C61" w:rsidRDefault="00EB77D0" w:rsidP="007D7A05">
            <w:pPr>
              <w:spacing w:after="0" w:line="257" w:lineRule="auto"/>
            </w:pPr>
            <w:r w:rsidRPr="00DE1C61">
              <w:t xml:space="preserve">Obchodní společnost zapsaná v obchodním rejstříku </w:t>
            </w:r>
            <w:r w:rsidR="0056396F" w:rsidRPr="00DE1C61">
              <w:t>oddíl C, vložka 51364</w:t>
            </w:r>
            <w:r w:rsidRPr="00DE1C61">
              <w:t xml:space="preserve"> vedenou u </w:t>
            </w:r>
            <w:r w:rsidR="00A71E11" w:rsidRPr="00DE1C61">
              <w:t xml:space="preserve">Městského </w:t>
            </w:r>
            <w:r w:rsidRPr="00DE1C61">
              <w:t>soudu v </w:t>
            </w:r>
            <w:r w:rsidR="00A71E11" w:rsidRPr="00DE1C61">
              <w:t>Praze</w:t>
            </w:r>
            <w:r w:rsidRPr="00DE1C61"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tc>
          <w:tcPr>
            <w:tcW w:w="3171" w:type="pct"/>
          </w:tcPr>
          <w:p w14:paraId="0B8ED5F9" w14:textId="1F918F63" w:rsidR="00EB77D0" w:rsidRPr="00DE1C61" w:rsidRDefault="00E05D6D" w:rsidP="007D7A05">
            <w:pPr>
              <w:spacing w:after="0" w:line="257" w:lineRule="auto"/>
            </w:pPr>
            <w:r w:rsidRPr="00DE1C61">
              <w:t>Ondřejem Oblukem, Romanem Vallou, jednateli</w:t>
            </w:r>
          </w:p>
        </w:tc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39B93189" w14:textId="5F40724B" w:rsidR="00EB77D0" w:rsidRPr="00DE1C61" w:rsidRDefault="00482F15" w:rsidP="007D7A05">
            <w:pPr>
              <w:spacing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  <w:r w:rsidR="00EB77D0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69945AB9" w14:textId="6493E473" w:rsidR="00EB77D0" w:rsidRPr="00E05D6D" w:rsidRDefault="00482F15" w:rsidP="007D7A05">
            <w:pPr>
              <w:spacing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tc>
          <w:tcPr>
            <w:tcW w:w="3171" w:type="pct"/>
            <w:shd w:val="clear" w:color="auto" w:fill="auto"/>
          </w:tcPr>
          <w:p w14:paraId="0AD14999" w14:textId="69BFA359" w:rsidR="00F74E4E" w:rsidRPr="00E05D6D" w:rsidRDefault="00482F15" w:rsidP="00F74E4E">
            <w:pPr>
              <w:spacing w:after="0" w:line="257" w:lineRule="auto"/>
            </w:pPr>
            <w:proofErr w:type="spellStart"/>
            <w:r>
              <w:t>xxxxx</w:t>
            </w:r>
            <w:proofErr w:type="spellEnd"/>
          </w:p>
        </w:tc>
      </w:tr>
    </w:tbl>
    <w:p w14:paraId="13060975" w14:textId="4978A85B" w:rsidR="006004F8" w:rsidRDefault="00EB77D0" w:rsidP="000E565C">
      <w:pPr>
        <w:spacing w:after="0"/>
        <w:ind w:left="709"/>
      </w:pPr>
      <w:r>
        <w:t>(dále jen „</w:t>
      </w:r>
      <w:r w:rsidR="00455748">
        <w:rPr>
          <w:rStyle w:val="NormalBold"/>
        </w:rPr>
        <w:t>Agentura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2C063915" w14:textId="284DFF83" w:rsidR="007774DB" w:rsidRPr="00B908A3" w:rsidRDefault="007774DB" w:rsidP="00DF7770">
      <w:pPr>
        <w:pStyle w:val="SML1"/>
      </w:pPr>
      <w:r w:rsidRPr="00B908A3">
        <w:lastRenderedPageBreak/>
        <w:t>Úvodní ustanovení</w:t>
      </w:r>
    </w:p>
    <w:p w14:paraId="53501EA7" w14:textId="24FF1E50" w:rsidR="007774DB" w:rsidRDefault="00DA700C" w:rsidP="00DA700C">
      <w:pPr>
        <w:pStyle w:val="SML11"/>
        <w:ind w:left="709" w:hanging="709"/>
      </w:pPr>
      <w:r>
        <w:t xml:space="preserve">Účelem této Smlouvy je zajištění informačně-propagační kampaně k mezinárodní urbanisticko-dopravně-architektonické dvoufázové </w:t>
      </w:r>
      <w:r w:rsidR="00E05D6D">
        <w:t xml:space="preserve">soutěži </w:t>
      </w:r>
      <w:r>
        <w:t>o návrh s názvem „Nové hlavní nádraží Brno“, k jejím výsledkům</w:t>
      </w:r>
      <w:r w:rsidR="00E11146">
        <w:t>, přínosům, benefitům</w:t>
      </w:r>
      <w:r>
        <w:t xml:space="preserve"> a dále služeb s touto kampaní souvisejících</w:t>
      </w:r>
      <w:r w:rsidR="00E11146">
        <w:t xml:space="preserve">, a to v souladu s cíli </w:t>
      </w:r>
      <w:r w:rsidR="00B52E7B">
        <w:t xml:space="preserve">a s ohledem na bariéry </w:t>
      </w:r>
      <w:r w:rsidR="00E11146">
        <w:t>uvedenými v příloze č. 1 této Smlouvy.</w:t>
      </w:r>
      <w:r>
        <w:t xml:space="preserve"> </w:t>
      </w:r>
    </w:p>
    <w:p w14:paraId="2611AC47" w14:textId="4CC4E9EC" w:rsidR="00DA700C" w:rsidRDefault="00DA700C" w:rsidP="00DA700C">
      <w:pPr>
        <w:pStyle w:val="SML11"/>
        <w:ind w:left="709" w:hanging="709"/>
      </w:pPr>
      <w:r>
        <w:t>Smlouva je uzavřena na základě výsledků výběrového řízení veřejné zakázky s názvem „</w:t>
      </w:r>
      <w:r w:rsidR="008B1AE5">
        <w:t>Informačně-propagační kampaň Nové hlavní nádraží Brno</w:t>
      </w:r>
      <w:r>
        <w:t>“. Jednotlivá ustanovení této Smlouvy tak budou vykládána v souladu se zadávacími podmínkami této veřejné zakázky</w:t>
      </w:r>
      <w:r w:rsidR="00CA0E40">
        <w:t xml:space="preserve"> a nabídkou Agentury podanou v rámci uvedeného výběrového řízení</w:t>
      </w:r>
      <w:r>
        <w:t>.</w:t>
      </w:r>
    </w:p>
    <w:p w14:paraId="1311C4CD" w14:textId="2CB2C4FB" w:rsidR="00DA700C" w:rsidRPr="007774DB" w:rsidRDefault="00DA700C" w:rsidP="00A147F4">
      <w:pPr>
        <w:pStyle w:val="SML11"/>
        <w:ind w:left="709" w:hanging="709"/>
      </w:pPr>
      <w:r>
        <w:t>Agentura prohlašuje, že se v dostatečném rozsahu seznámila s veškerými požadavky Objednatele na realizaci této Smlouvy, přičemž si není vědoma žádných překážek, které by jí bránily v poskytnutí sjednaného plnění Objednateli tak, aby byl zajištěn účel této Smlouvy.</w:t>
      </w:r>
    </w:p>
    <w:p w14:paraId="1FA120AB" w14:textId="70208E76" w:rsidR="00DF7770" w:rsidRPr="00B908A3" w:rsidRDefault="00DF7770" w:rsidP="00DF7770">
      <w:pPr>
        <w:pStyle w:val="SML1"/>
      </w:pPr>
      <w:r w:rsidRPr="00B908A3">
        <w:t>Předmět smlouvy</w:t>
      </w:r>
    </w:p>
    <w:p w14:paraId="1C46B4CD" w14:textId="6F56B321" w:rsidR="00DF7770" w:rsidRDefault="00DF7770" w:rsidP="00AE05BE">
      <w:pPr>
        <w:pStyle w:val="SML11"/>
        <w:ind w:hanging="792"/>
      </w:pPr>
      <w:r w:rsidRPr="00DF7770">
        <w:t xml:space="preserve">Předmětem </w:t>
      </w:r>
      <w:r w:rsidR="00786D28">
        <w:t>s</w:t>
      </w:r>
      <w:r w:rsidR="0064279C" w:rsidRPr="00DF7770">
        <w:t xml:space="preserve">mlouvy </w:t>
      </w:r>
      <w:r w:rsidRPr="00DF7770">
        <w:t xml:space="preserve">je závazek </w:t>
      </w:r>
      <w:r w:rsidR="00455748">
        <w:t xml:space="preserve">Agentury </w:t>
      </w:r>
      <w:r w:rsidR="00CA0E40">
        <w:t>zajistit</w:t>
      </w:r>
      <w:r w:rsidR="002D2192" w:rsidRPr="00DF7770">
        <w:t xml:space="preserve"> </w:t>
      </w:r>
      <w:r w:rsidRPr="00DF7770">
        <w:t>na svůj náklad a</w:t>
      </w:r>
      <w:r w:rsidR="00914AFD">
        <w:t> </w:t>
      </w:r>
      <w:r w:rsidRPr="00DF7770">
        <w:t>nebezpečí</w:t>
      </w:r>
      <w:r w:rsidR="00CA0E40">
        <w:t xml:space="preserve"> </w:t>
      </w:r>
      <w:r w:rsidR="002B31A2">
        <w:t xml:space="preserve">služby </w:t>
      </w:r>
      <w:r w:rsidR="00CA0E40">
        <w:t>zejména</w:t>
      </w:r>
      <w:r w:rsidR="002B31A2">
        <w:t xml:space="preserve"> v následujících oblastech</w:t>
      </w:r>
      <w:r w:rsidR="00A43D6A">
        <w:t>:</w:t>
      </w:r>
    </w:p>
    <w:p w14:paraId="06C36293" w14:textId="11C200F4" w:rsidR="00A43D6A" w:rsidRDefault="00455748" w:rsidP="00A43D6A">
      <w:pPr>
        <w:pStyle w:val="SML111"/>
      </w:pPr>
      <w:r>
        <w:t>v</w:t>
      </w:r>
      <w:r w:rsidR="00A43D6A">
        <w:t xml:space="preserve">ytvoření komunikační strategie </w:t>
      </w:r>
      <w:r w:rsidR="002B31A2">
        <w:t>kampaně (včetně harmonogramu)</w:t>
      </w:r>
      <w:r w:rsidR="00A43D6A">
        <w:t>,</w:t>
      </w:r>
    </w:p>
    <w:p w14:paraId="33CD5B9E" w14:textId="745B859D" w:rsidR="00A43D6A" w:rsidRDefault="00455748" w:rsidP="00A43D6A">
      <w:pPr>
        <w:pStyle w:val="SML111"/>
      </w:pPr>
      <w:r>
        <w:t>v</w:t>
      </w:r>
      <w:r w:rsidR="00A43D6A">
        <w:t xml:space="preserve">ytvoření hlavního reklamního sdělení – </w:t>
      </w:r>
      <w:proofErr w:type="spellStart"/>
      <w:r w:rsidR="00A43D6A">
        <w:t>claimu</w:t>
      </w:r>
      <w:proofErr w:type="spellEnd"/>
      <w:r w:rsidR="00A43D6A">
        <w:t>,</w:t>
      </w:r>
    </w:p>
    <w:p w14:paraId="4F64D66A" w14:textId="5AAB3A60" w:rsidR="00A43D6A" w:rsidRDefault="00455748" w:rsidP="00A43D6A">
      <w:pPr>
        <w:pStyle w:val="SML111"/>
      </w:pPr>
      <w:r>
        <w:t>v</w:t>
      </w:r>
      <w:r w:rsidR="00A43D6A">
        <w:t>ytvoření celkového on-line a off-line komunikačního plánu (</w:t>
      </w:r>
      <w:r w:rsidR="002B31A2">
        <w:t>včetně</w:t>
      </w:r>
      <w:r w:rsidR="00A43D6A">
        <w:t xml:space="preserve"> harmonogramu), </w:t>
      </w:r>
    </w:p>
    <w:p w14:paraId="52A019E0" w14:textId="722F959D" w:rsidR="00A43D6A" w:rsidRDefault="00455748" w:rsidP="00A43D6A">
      <w:pPr>
        <w:pStyle w:val="SML111"/>
      </w:pPr>
      <w:r>
        <w:t>s</w:t>
      </w:r>
      <w:r w:rsidR="00A43D6A">
        <w:t xml:space="preserve">práva, </w:t>
      </w:r>
      <w:proofErr w:type="spellStart"/>
      <w:r w:rsidR="00A43D6A">
        <w:t>community</w:t>
      </w:r>
      <w:proofErr w:type="spellEnd"/>
      <w:r w:rsidR="00A43D6A">
        <w:t xml:space="preserve"> management a placený obsah na sociálních sítích</w:t>
      </w:r>
      <w:r w:rsidR="00B4588F">
        <w:t xml:space="preserve"> (zejména Facebook</w:t>
      </w:r>
      <w:r w:rsidR="00924F7B">
        <w:t xml:space="preserve"> a Instagram</w:t>
      </w:r>
      <w:r w:rsidR="00B4588F">
        <w:t>)</w:t>
      </w:r>
      <w:r w:rsidR="00A43D6A">
        <w:t xml:space="preserve">, </w:t>
      </w:r>
    </w:p>
    <w:p w14:paraId="269E953A" w14:textId="539D9928" w:rsidR="00A43D6A" w:rsidRDefault="00A43D6A" w:rsidP="00A43D6A">
      <w:pPr>
        <w:pStyle w:val="SML111"/>
      </w:pPr>
      <w:r>
        <w:t>zajištění místa pro placený obsah v</w:t>
      </w:r>
      <w:r w:rsidR="00B4588F">
        <w:t> jednotlivých typech sdělovacích prostředků (masmédií) včetně přípravy</w:t>
      </w:r>
      <w:r>
        <w:t xml:space="preserve"> </w:t>
      </w:r>
      <w:r w:rsidR="00B4588F">
        <w:t>takového obsahu (inzerce)</w:t>
      </w:r>
      <w:r>
        <w:t xml:space="preserve">, </w:t>
      </w:r>
    </w:p>
    <w:p w14:paraId="2EA84860" w14:textId="4F212BA0" w:rsidR="00A43D6A" w:rsidRDefault="00455748" w:rsidP="00A43D6A">
      <w:pPr>
        <w:pStyle w:val="SML111"/>
      </w:pPr>
      <w:r>
        <w:t>v</w:t>
      </w:r>
      <w:r w:rsidR="00A43D6A">
        <w:t xml:space="preserve">ytvoření </w:t>
      </w:r>
      <w:bookmarkStart w:id="1" w:name="_Hlk81477954"/>
      <w:r w:rsidR="00B4588F">
        <w:t>podrobn</w:t>
      </w:r>
      <w:r w:rsidR="007A1679">
        <w:t>ých</w:t>
      </w:r>
      <w:r w:rsidR="00B4588F">
        <w:t xml:space="preserve"> </w:t>
      </w:r>
      <w:r w:rsidR="00A43D6A">
        <w:t>rozpočt</w:t>
      </w:r>
      <w:r w:rsidR="007A1679">
        <w:t>ů</w:t>
      </w:r>
      <w:r w:rsidR="00A43D6A">
        <w:t xml:space="preserve"> </w:t>
      </w:r>
      <w:r w:rsidR="00B4588F">
        <w:t>placeného obsahu (inzerce)</w:t>
      </w:r>
      <w:r w:rsidR="003F6DE1">
        <w:t xml:space="preserve"> dle požadavků Objednatele</w:t>
      </w:r>
      <w:r w:rsidR="00A43D6A">
        <w:t xml:space="preserve">, </w:t>
      </w:r>
      <w:bookmarkEnd w:id="1"/>
    </w:p>
    <w:p w14:paraId="1E2CEB63" w14:textId="405AB11E" w:rsidR="00A43D6A" w:rsidRDefault="00A43D6A" w:rsidP="00A43D6A">
      <w:pPr>
        <w:pStyle w:val="SML111"/>
      </w:pPr>
      <w:r>
        <w:t>identifikace možných krizových situací</w:t>
      </w:r>
      <w:r w:rsidR="00B4588F">
        <w:t xml:space="preserve"> či sporných témat a příprava komunikační strategie reagující na takové situace (krizová komunikace) včetně zajištění realizace takové strategie,</w:t>
      </w:r>
    </w:p>
    <w:p w14:paraId="2EF90911" w14:textId="4239FEF2" w:rsidR="00A43D6A" w:rsidRDefault="00B4588F" w:rsidP="00A43D6A">
      <w:pPr>
        <w:pStyle w:val="SML111"/>
      </w:pPr>
      <w:r>
        <w:t>zajištění komunikace kampaně pro zahraničí, a to zejména v anglickém jazyce,</w:t>
      </w:r>
    </w:p>
    <w:p w14:paraId="499A697A" w14:textId="34937353" w:rsidR="00A43D6A" w:rsidRDefault="00455748" w:rsidP="00A43D6A">
      <w:pPr>
        <w:pStyle w:val="SML111"/>
      </w:pPr>
      <w:r>
        <w:t>r</w:t>
      </w:r>
      <w:r w:rsidR="00A43D6A">
        <w:t xml:space="preserve">eporting (min. 1x </w:t>
      </w:r>
      <w:r w:rsidR="00B85A2F">
        <w:t xml:space="preserve">za kalendářní </w:t>
      </w:r>
      <w:r w:rsidR="00A43D6A">
        <w:t xml:space="preserve">měsíc). Součástí reportu bude analytické vyhodnocení </w:t>
      </w:r>
      <w:r w:rsidR="00B85A2F">
        <w:t>komunikační strategie</w:t>
      </w:r>
      <w:r w:rsidR="00A43D6A">
        <w:t xml:space="preserve">, doporučení pro další postup, návrhy na případné úpravy </w:t>
      </w:r>
      <w:r w:rsidR="00B85A2F">
        <w:t>komunikační strategie a s tím související návrhy úpravy rozpočtu, plánu inzerce atp.,</w:t>
      </w:r>
    </w:p>
    <w:p w14:paraId="5963C07F" w14:textId="417F43B6" w:rsidR="00A43D6A" w:rsidRDefault="000533F1" w:rsidP="00A43D6A">
      <w:pPr>
        <w:pStyle w:val="SML111"/>
      </w:pPr>
      <w:r>
        <w:t>další související reklamní a marketingové činnosti.</w:t>
      </w:r>
    </w:p>
    <w:p w14:paraId="7B097686" w14:textId="00988AED" w:rsidR="00E11146" w:rsidRDefault="00E11146" w:rsidP="00AE05BE">
      <w:pPr>
        <w:pStyle w:val="SML11"/>
        <w:ind w:hanging="792"/>
      </w:pPr>
      <w:r>
        <w:t>Předmět Smlouvy je dále specifikován v příloze č. 1 této Smlouvy.</w:t>
      </w:r>
    </w:p>
    <w:p w14:paraId="23951DD8" w14:textId="16FC27E2" w:rsidR="00180680" w:rsidRDefault="00180680" w:rsidP="00AE05BE">
      <w:pPr>
        <w:pStyle w:val="SML11"/>
        <w:ind w:hanging="792"/>
      </w:pPr>
      <w:r>
        <w:lastRenderedPageBreak/>
        <w:t xml:space="preserve">Agentura </w:t>
      </w:r>
      <w:r w:rsidR="00B85A2F">
        <w:t xml:space="preserve">se zavazuje, že veškeré služby dle </w:t>
      </w:r>
      <w:r w:rsidR="008B1AE5">
        <w:t>shora uvedených</w:t>
      </w:r>
      <w:r w:rsidR="00B85A2F">
        <w:t xml:space="preserve"> ustanovení</w:t>
      </w:r>
      <w:r w:rsidR="008B1AE5">
        <w:t xml:space="preserve"> a příloh</w:t>
      </w:r>
      <w:r w:rsidR="00B85A2F">
        <w:t xml:space="preserve"> budou poskytovány </w:t>
      </w:r>
      <w:r w:rsidR="009E484A">
        <w:t xml:space="preserve">proaktivně, </w:t>
      </w:r>
      <w:r w:rsidR="00B85A2F">
        <w:t>v</w:t>
      </w:r>
      <w:r w:rsidR="00883593">
        <w:t> </w:t>
      </w:r>
      <w:r w:rsidR="00B85A2F">
        <w:t>součinnosti</w:t>
      </w:r>
      <w:r w:rsidR="00883593">
        <w:t xml:space="preserve"> a na základě pokynů</w:t>
      </w:r>
      <w:r w:rsidR="00B85A2F">
        <w:t xml:space="preserve"> Objednatele a za dodržení aktuální vizuální identity a </w:t>
      </w:r>
      <w:proofErr w:type="spellStart"/>
      <w:r w:rsidR="00B85A2F">
        <w:t>brand</w:t>
      </w:r>
      <w:r w:rsidR="00EA46C2">
        <w:t>u</w:t>
      </w:r>
      <w:proofErr w:type="spellEnd"/>
      <w:r w:rsidR="00B85A2F">
        <w:t xml:space="preserve"> Objednatele.</w:t>
      </w:r>
    </w:p>
    <w:p w14:paraId="2013F362" w14:textId="4E312A9D" w:rsidR="00FF4638" w:rsidRDefault="00DF7770" w:rsidP="00AE05BE">
      <w:pPr>
        <w:pStyle w:val="SML11"/>
        <w:ind w:hanging="792"/>
      </w:pPr>
      <w:r w:rsidRPr="00FF4638">
        <w:t xml:space="preserve">Objednatel se zavazuje poskytnout </w:t>
      </w:r>
      <w:r w:rsidR="00455748">
        <w:t>Agentuře</w:t>
      </w:r>
      <w:r w:rsidR="002D2192" w:rsidRPr="00FF4638">
        <w:t xml:space="preserve"> </w:t>
      </w:r>
      <w:r w:rsidRPr="00FF4638">
        <w:t xml:space="preserve">součinnost </w:t>
      </w:r>
      <w:r w:rsidR="00883593">
        <w:t xml:space="preserve">a </w:t>
      </w:r>
      <w:r w:rsidR="008B1AE5">
        <w:t xml:space="preserve">udílet </w:t>
      </w:r>
      <w:r w:rsidR="00883593">
        <w:t>pokyny nezbytné</w:t>
      </w:r>
      <w:r w:rsidR="00883593" w:rsidRPr="00FF4638">
        <w:t xml:space="preserve"> </w:t>
      </w:r>
      <w:r w:rsidRPr="00FF4638">
        <w:t>k</w:t>
      </w:r>
      <w:r w:rsidR="00455748">
        <w:t> </w:t>
      </w:r>
      <w:r w:rsidRPr="00FF4638">
        <w:t>realizaci</w:t>
      </w:r>
      <w:r w:rsidR="00455748">
        <w:t xml:space="preserve"> předmětu </w:t>
      </w:r>
      <w:r w:rsidR="00B85A2F">
        <w:t>S</w:t>
      </w:r>
      <w:r w:rsidR="00455748">
        <w:t>mlouvy</w:t>
      </w:r>
      <w:r w:rsidRPr="00FF4638">
        <w:t>.</w:t>
      </w:r>
    </w:p>
    <w:p w14:paraId="5D890A12" w14:textId="3FADEE57" w:rsidR="00BC14C6" w:rsidRDefault="00B85A2F" w:rsidP="00AE05BE">
      <w:pPr>
        <w:pStyle w:val="SML11"/>
        <w:ind w:hanging="792"/>
      </w:pPr>
      <w:r>
        <w:t>Smluvní strany se zavazují, že z</w:t>
      </w:r>
      <w:r w:rsidR="00455748">
        <w:t>ejména pro účely ujasnění zadání, průběžných konzultací k návrhu předmětu Smlouvy a dodržování termínu plnění budou konány pracovní výbory (dále jen „</w:t>
      </w:r>
      <w:r w:rsidR="00455748" w:rsidRPr="00A147F4">
        <w:rPr>
          <w:b/>
          <w:bCs w:val="0"/>
        </w:rPr>
        <w:t>PV</w:t>
      </w:r>
      <w:r w:rsidR="00455748">
        <w:t>“), a to nejméně</w:t>
      </w:r>
      <w:r w:rsidR="00B53CC5">
        <w:t xml:space="preserve"> 3 PV, v pravidelných termínech dle vzájemné dohody mezi Objednatelem a Agenturou. První vstupní PV se uskuteční do 10 kalendářních dnů ode dne účinnosti Smlouvy. PV budou probíhat buď v sídle Objednatele nebo prostřednictvím obecně používaných elektronických nástrojů komunikace v online prostředí, a to dle požadavku Objednatele. Účast na PV může být zrušena kteroukoliv Smluvní stranou telefonicky nebo prostřednictvím e-mailu, nejpozději však v předchozí pracovní den do 17:00 hod.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19AE8F94" w:rsidR="00DF7770" w:rsidRPr="00DF7770" w:rsidRDefault="00DF7770" w:rsidP="00FF4638">
      <w:pPr>
        <w:pStyle w:val="SML11"/>
        <w:ind w:hanging="792"/>
      </w:pPr>
      <w:r w:rsidRPr="00DF7770">
        <w:t>Celková cena za zpracování předmě</w:t>
      </w:r>
      <w:r w:rsidR="00786D28">
        <w:t>tu smlouvy</w:t>
      </w:r>
      <w:r w:rsidRPr="00DF7770">
        <w:t xml:space="preserve"> činí:</w:t>
      </w:r>
    </w:p>
    <w:p w14:paraId="1A0C8D9E" w14:textId="1797AB33" w:rsidR="00AC7FF3" w:rsidRPr="00DF7770" w:rsidRDefault="00A71E11" w:rsidP="00AC7FF3">
      <w:pPr>
        <w:pStyle w:val="AnShrnut-normal"/>
        <w:ind w:left="708" w:firstLine="1"/>
      </w:pPr>
      <w:r>
        <w:rPr>
          <w:color w:val="000000"/>
          <w:szCs w:val="24"/>
        </w:rPr>
        <w:t>4</w:t>
      </w:r>
      <w:r w:rsidR="00455748">
        <w:rPr>
          <w:color w:val="000000"/>
          <w:szCs w:val="24"/>
        </w:rPr>
        <w:t>0</w:t>
      </w:r>
      <w:r>
        <w:rPr>
          <w:color w:val="000000"/>
          <w:szCs w:val="24"/>
        </w:rPr>
        <w:t>0.000</w:t>
      </w:r>
      <w:r w:rsidR="00DF7770" w:rsidRPr="002D2192">
        <w:rPr>
          <w:szCs w:val="24"/>
        </w:rPr>
        <w:t xml:space="preserve"> Kč (slovy</w:t>
      </w:r>
      <w:r w:rsidR="002D2192" w:rsidRPr="002D2192">
        <w:rPr>
          <w:szCs w:val="24"/>
        </w:rPr>
        <w:t xml:space="preserve">: </w:t>
      </w:r>
      <w:r w:rsidR="00F24633">
        <w:rPr>
          <w:color w:val="000000"/>
          <w:szCs w:val="24"/>
        </w:rPr>
        <w:t>čtyři</w:t>
      </w:r>
      <w:r w:rsidR="00455748">
        <w:rPr>
          <w:color w:val="000000"/>
          <w:szCs w:val="24"/>
        </w:rPr>
        <w:t xml:space="preserve"> sta</w:t>
      </w:r>
      <w:r w:rsidR="00F24633">
        <w:rPr>
          <w:color w:val="000000"/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66684668" w14:textId="6782D4BF" w:rsidR="00AC7FF3" w:rsidRDefault="00455748" w:rsidP="00726E22">
      <w:pPr>
        <w:pStyle w:val="AnShrnut-normal"/>
        <w:ind w:left="708"/>
      </w:pPr>
      <w:r>
        <w:rPr>
          <w:color w:val="000000"/>
          <w:szCs w:val="24"/>
        </w:rPr>
        <w:t>484.0</w:t>
      </w:r>
      <w:r w:rsidR="00F24633">
        <w:rPr>
          <w:color w:val="000000"/>
          <w:szCs w:val="24"/>
        </w:rPr>
        <w:t>00</w:t>
      </w:r>
      <w:r w:rsidR="00DF7770" w:rsidRPr="00DF7770">
        <w:t xml:space="preserve"> Kč (slovy:</w:t>
      </w:r>
      <w:r w:rsidR="002D2192" w:rsidRPr="002D219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čtyři sta osmdesát čtyři tisíc </w:t>
      </w:r>
      <w:r w:rsidR="00DF7770" w:rsidRPr="00DF7770">
        <w:t>korun českých) s</w:t>
      </w:r>
      <w:r w:rsidR="00AC7FF3">
        <w:t> </w:t>
      </w:r>
      <w:r w:rsidR="00DF7770" w:rsidRPr="00DF7770">
        <w:t>DPH</w:t>
      </w:r>
      <w:r w:rsidR="00AC7FF3">
        <w:t xml:space="preserve">, </w:t>
      </w:r>
    </w:p>
    <w:p w14:paraId="2E8E77E7" w14:textId="2BE2A7FE" w:rsidR="00DF7770" w:rsidRPr="00DF7770" w:rsidRDefault="00AC7FF3" w:rsidP="00726E22">
      <w:pPr>
        <w:pStyle w:val="AnShrnut-normal"/>
        <w:ind w:left="708"/>
      </w:pPr>
      <w:r>
        <w:t xml:space="preserve">a to při DPH ve výši </w:t>
      </w:r>
      <w:r w:rsidR="00F24633">
        <w:rPr>
          <w:color w:val="000000"/>
          <w:szCs w:val="24"/>
        </w:rPr>
        <w:t>21</w:t>
      </w:r>
      <w:r>
        <w:rPr>
          <w:color w:val="000000"/>
          <w:szCs w:val="24"/>
        </w:rPr>
        <w:t xml:space="preserve"> %</w:t>
      </w:r>
      <w:r w:rsidR="007572DE">
        <w:rPr>
          <w:color w:val="000000"/>
          <w:szCs w:val="24"/>
        </w:rPr>
        <w:t xml:space="preserve"> (dále jen „</w:t>
      </w:r>
      <w:r w:rsidR="007572DE" w:rsidRPr="00A147F4">
        <w:rPr>
          <w:b/>
          <w:bCs/>
          <w:color w:val="000000"/>
          <w:szCs w:val="24"/>
        </w:rPr>
        <w:t>Cena</w:t>
      </w:r>
      <w:r w:rsidR="007572DE">
        <w:rPr>
          <w:color w:val="000000"/>
          <w:szCs w:val="24"/>
        </w:rPr>
        <w:t>“)</w:t>
      </w:r>
      <w:r>
        <w:t>.</w:t>
      </w:r>
    </w:p>
    <w:p w14:paraId="2FBCEAD1" w14:textId="1DB98C3F" w:rsidR="00FF4638" w:rsidRPr="00D00218" w:rsidRDefault="007572DE" w:rsidP="00FF4638">
      <w:pPr>
        <w:pStyle w:val="SML11"/>
        <w:ind w:hanging="792"/>
        <w:rPr>
          <w:strike/>
        </w:rPr>
      </w:pPr>
      <w:r>
        <w:t xml:space="preserve">Objednatel bude hradit Agentuře Cenu </w:t>
      </w:r>
      <w:r w:rsidR="00D00218">
        <w:t xml:space="preserve">dle položkového rozpočtu, který tvoří přílohu č. 2 této </w:t>
      </w:r>
      <w:r w:rsidR="007A1679">
        <w:t>Smlouvy,</w:t>
      </w:r>
      <w:r>
        <w:t xml:space="preserve"> </w:t>
      </w:r>
      <w:r w:rsidR="00D00218">
        <w:t xml:space="preserve">a to následujícím způsobem: </w:t>
      </w:r>
    </w:p>
    <w:p w14:paraId="0BA15CE9" w14:textId="43BE7CAE" w:rsidR="00D00218" w:rsidRPr="00D00218" w:rsidRDefault="00D00218" w:rsidP="00D00218">
      <w:pPr>
        <w:pStyle w:val="SML111"/>
        <w:rPr>
          <w:strike/>
        </w:rPr>
      </w:pPr>
      <w:r>
        <w:t xml:space="preserve">Cena za služby Agentury (Agenturní </w:t>
      </w:r>
      <w:proofErr w:type="spellStart"/>
      <w:r>
        <w:t>fee</w:t>
      </w:r>
      <w:proofErr w:type="spellEnd"/>
      <w:r>
        <w:t>) bude hrazen</w:t>
      </w:r>
      <w:r w:rsidR="007A1679">
        <w:t>a</w:t>
      </w:r>
      <w:r>
        <w:t xml:space="preserve"> ve dvou splátkách na základě daňového dokladu (faktury) vystaveného</w:t>
      </w:r>
      <w:r w:rsidR="007A1679">
        <w:t xml:space="preserve"> za</w:t>
      </w:r>
      <w:r>
        <w:t xml:space="preserve"> </w:t>
      </w:r>
      <w:r w:rsidR="007A1679">
        <w:t xml:space="preserve">I. a II. etapu </w:t>
      </w:r>
      <w:r>
        <w:t xml:space="preserve">nejdříve k datu 1.12.2021 a </w:t>
      </w:r>
      <w:r w:rsidR="007A1679">
        <w:t xml:space="preserve">za III. etapu nejdříve k datu </w:t>
      </w:r>
      <w:r>
        <w:t xml:space="preserve">1.6. 2022. </w:t>
      </w:r>
    </w:p>
    <w:p w14:paraId="5F39CEBC" w14:textId="4B08134E" w:rsidR="00D00218" w:rsidRPr="00A147F4" w:rsidRDefault="00D00218" w:rsidP="00D00218">
      <w:pPr>
        <w:pStyle w:val="SML111"/>
        <w:rPr>
          <w:strike/>
        </w:rPr>
      </w:pPr>
      <w:r>
        <w:t>Cena za nákup mediálního prostoru bude hrazen</w:t>
      </w:r>
      <w:r w:rsidR="007A1679">
        <w:t>a</w:t>
      </w:r>
      <w:r>
        <w:t xml:space="preserve"> </w:t>
      </w:r>
      <w:r w:rsidR="007A1679">
        <w:t xml:space="preserve">vždy po Objednatelem odsouhlaseného </w:t>
      </w:r>
      <w:r w:rsidR="003F6DE1">
        <w:t xml:space="preserve">příslušného </w:t>
      </w:r>
      <w:r w:rsidR="007A1679" w:rsidRPr="00D00218">
        <w:t>podrobného rozpočtu placeného obsahu (inzerce)</w:t>
      </w:r>
      <w:r w:rsidR="007A1679">
        <w:t xml:space="preserve"> a </w:t>
      </w:r>
      <w:r>
        <w:t xml:space="preserve">na základě </w:t>
      </w:r>
      <w:r w:rsidR="003F6DE1">
        <w:t xml:space="preserve">toho vystaveného </w:t>
      </w:r>
      <w:r>
        <w:t>daňového dokladu (faktury</w:t>
      </w:r>
      <w:r w:rsidR="003F6DE1">
        <w:t>)</w:t>
      </w:r>
      <w:r w:rsidR="00A166A5">
        <w:t xml:space="preserve">. </w:t>
      </w:r>
    </w:p>
    <w:p w14:paraId="0B0BD43A" w14:textId="337E9B69" w:rsidR="00B53CC5" w:rsidRDefault="00DF7770" w:rsidP="008773F3">
      <w:pPr>
        <w:pStyle w:val="SML11"/>
        <w:ind w:hanging="792"/>
      </w:pPr>
      <w:r w:rsidRPr="00FF4638">
        <w:t xml:space="preserve">Sjednaná cena v sobě zahrnuje veškeré náklady </w:t>
      </w:r>
      <w:r w:rsidR="005E6760">
        <w:t>Agentury</w:t>
      </w:r>
      <w:r w:rsidR="00D3454A" w:rsidRPr="00FF4638">
        <w:t xml:space="preserve"> </w:t>
      </w:r>
      <w:r w:rsidR="00B53CC5">
        <w:t>(včetně všech nákladů na realizaci předmětu Smlouvy, tj. i náklady na výrobu</w:t>
      </w:r>
      <w:r w:rsidR="008773F3">
        <w:t>, materiál či jakékoliv služby třetích osob) či poplatky, které Agentuře vzniknou v souvislosti s řádným plněním předmětu Smlouvy. Cena v sobě zahrnuje i náklady na veškerá plnění, která nejsou výslovně uvedena v této Smlouvě, ale jejich provedení je ke splnění účelu Smlouvy nezbytné.</w:t>
      </w:r>
    </w:p>
    <w:p w14:paraId="13F37DAF" w14:textId="6A8389FA" w:rsidR="00FF4638" w:rsidRPr="00A147F4" w:rsidRDefault="00DF7770" w:rsidP="00FF4638">
      <w:pPr>
        <w:pStyle w:val="SML11"/>
        <w:ind w:hanging="792"/>
      </w:pPr>
      <w:r w:rsidRPr="00A147F4">
        <w:t xml:space="preserve">Objednatel je povinen zaplatit </w:t>
      </w:r>
      <w:r w:rsidR="00786D28" w:rsidRPr="00A147F4">
        <w:t>Agentuře</w:t>
      </w:r>
      <w:r w:rsidRPr="00A147F4">
        <w:t xml:space="preserve"> </w:t>
      </w:r>
      <w:r w:rsidR="008773F3" w:rsidRPr="00A147F4">
        <w:t>příslušnou splátku Ceny</w:t>
      </w:r>
      <w:r w:rsidRPr="00A147F4">
        <w:t xml:space="preserve"> na základě</w:t>
      </w:r>
      <w:r w:rsidR="00786D28" w:rsidRPr="00A147F4">
        <w:t xml:space="preserve"> </w:t>
      </w:r>
      <w:r w:rsidRPr="00A147F4">
        <w:t>řádně vystaveného</w:t>
      </w:r>
      <w:r w:rsidR="008773F3">
        <w:t xml:space="preserve"> a odsouhlasení</w:t>
      </w:r>
      <w:r w:rsidRPr="00A147F4">
        <w:t xml:space="preserve"> daňového dokladu (faktury), a to se splatností 21 dnů ode dne doručení faktury </w:t>
      </w:r>
      <w:r w:rsidR="00D3454A" w:rsidRPr="00A147F4">
        <w:t>Objednateli</w:t>
      </w:r>
      <w:r w:rsidRPr="00A147F4">
        <w:t xml:space="preserve">. </w:t>
      </w:r>
      <w:r w:rsidR="00786D28" w:rsidRPr="00A147F4">
        <w:t>Agentura</w:t>
      </w:r>
      <w:r w:rsidR="00922233" w:rsidRPr="00A147F4">
        <w:t xml:space="preserve"> doručí fakturu na e-mail kontaktní osoby uvedený v záhlaví této Smlouvy</w:t>
      </w:r>
      <w:r w:rsidR="008773F3">
        <w:t>.</w:t>
      </w:r>
    </w:p>
    <w:p w14:paraId="1A7D4F8D" w14:textId="6CE33616" w:rsidR="00FF4638" w:rsidRPr="00B908A3" w:rsidRDefault="00DF7770" w:rsidP="00AE05BE">
      <w:pPr>
        <w:pStyle w:val="SML11"/>
        <w:ind w:hanging="792"/>
      </w:pPr>
      <w:r w:rsidRPr="00FF4638">
        <w:t xml:space="preserve">Řádným vystavením faktury se rozumí vystavení faktury </w:t>
      </w:r>
      <w:r w:rsidR="008773F3">
        <w:t>Agenturou</w:t>
      </w:r>
      <w:r w:rsidRPr="00FF4638">
        <w:t>, je</w:t>
      </w:r>
      <w:r w:rsidR="002306EB">
        <w:t>n</w:t>
      </w:r>
      <w:r w:rsidRPr="00FF4638">
        <w:t>ž má veškeré náležitosti daňového dokladu požadované právními předpisy, zejména zákonem č.</w:t>
      </w:r>
      <w:r w:rsidR="00532F25">
        <w:t> </w:t>
      </w:r>
      <w:r w:rsidRPr="00FF4638">
        <w:t>235/2004 Sb., o dani z přidané hodnoty, ve znění pozdějších předpisů</w:t>
      </w:r>
      <w:r w:rsidR="00820D2E">
        <w:t xml:space="preserve"> (dále jen „</w:t>
      </w:r>
      <w:r w:rsidR="00820D2E" w:rsidRPr="00CE2D6E">
        <w:rPr>
          <w:b/>
          <w:bCs w:val="0"/>
        </w:rPr>
        <w:t xml:space="preserve">zákon o </w:t>
      </w:r>
      <w:r w:rsidR="00820D2E" w:rsidRPr="00B908A3">
        <w:rPr>
          <w:b/>
          <w:bCs w:val="0"/>
        </w:rPr>
        <w:t>DPH</w:t>
      </w:r>
      <w:r w:rsidR="00820D2E" w:rsidRPr="00B908A3">
        <w:t>“)</w:t>
      </w:r>
      <w:r w:rsidRPr="00B908A3">
        <w:t>.</w:t>
      </w:r>
      <w:r w:rsidRPr="00B908A3">
        <w:rPr>
          <w:bCs w:val="0"/>
        </w:rPr>
        <w:t xml:space="preserve"> </w:t>
      </w:r>
    </w:p>
    <w:p w14:paraId="21528FBA" w14:textId="191E4627" w:rsidR="00FF4638" w:rsidRPr="00B908A3" w:rsidRDefault="00DF7770" w:rsidP="00FF4638">
      <w:pPr>
        <w:pStyle w:val="SML11"/>
        <w:ind w:hanging="792"/>
      </w:pPr>
      <w:r w:rsidRPr="00B908A3">
        <w:lastRenderedPageBreak/>
        <w:t>V případě, že faktura nebude vystavena řádně v souladu se zákonem</w:t>
      </w:r>
      <w:r w:rsidR="00820D2E" w:rsidRPr="00B908A3">
        <w:t xml:space="preserve"> o DPH</w:t>
      </w:r>
      <w:r w:rsidRPr="00B908A3">
        <w:t xml:space="preserve"> a nebude obsahovat předepsané náležitosti</w:t>
      </w:r>
      <w:r w:rsidR="008773F3" w:rsidRPr="00B908A3">
        <w:t xml:space="preserve">, </w:t>
      </w:r>
      <w:r w:rsidRPr="00B908A3">
        <w:t xml:space="preserve">je </w:t>
      </w:r>
      <w:r w:rsidR="00D3454A" w:rsidRPr="00B908A3">
        <w:t xml:space="preserve">Objednatel </w:t>
      </w:r>
      <w:r w:rsidRPr="00B908A3">
        <w:t xml:space="preserve">oprávněn vrátit ji </w:t>
      </w:r>
      <w:r w:rsidR="009E484A" w:rsidRPr="00B908A3">
        <w:t xml:space="preserve">Agentuře </w:t>
      </w:r>
      <w:r w:rsidRPr="00B908A3">
        <w:t>k</w:t>
      </w:r>
      <w:r w:rsidR="00532F25" w:rsidRPr="00B908A3">
        <w:t> </w:t>
      </w:r>
      <w:r w:rsidRPr="00B908A3">
        <w:t xml:space="preserve">doplnění. </w:t>
      </w:r>
      <w:r w:rsidR="008773F3" w:rsidRPr="00B908A3">
        <w:t>Obdobně je Objednatel oprávněn vrátit</w:t>
      </w:r>
      <w:r w:rsidR="009E484A" w:rsidRPr="00B908A3">
        <w:t xml:space="preserve"> Agentuře</w:t>
      </w:r>
      <w:r w:rsidR="008773F3" w:rsidRPr="00B908A3">
        <w:t xml:space="preserve"> fakturu s vyúčtováním v případě, že </w:t>
      </w:r>
      <w:r w:rsidR="009E484A" w:rsidRPr="00B908A3">
        <w:t>vyúčtování nebude obsahovat náležitosti dle odst. 4.2 této Smlouvy. V obou těchto případech</w:t>
      </w:r>
      <w:r w:rsidRPr="00B908A3">
        <w:t xml:space="preserve"> se zastaví plynutí lhůty splatnosti a nová lhůta splatnosti začne běžet doručením opravené faktury</w:t>
      </w:r>
      <w:r w:rsidR="009E484A" w:rsidRPr="00B908A3">
        <w:t>, příp. faktury s opraveným vyúčtováním</w:t>
      </w:r>
      <w:r w:rsidRPr="00B908A3">
        <w:t>.</w:t>
      </w:r>
    </w:p>
    <w:p w14:paraId="1FB792ED" w14:textId="5812A300" w:rsidR="00DF7770" w:rsidRPr="00B908A3" w:rsidRDefault="00DF7770" w:rsidP="00FF4638">
      <w:pPr>
        <w:pStyle w:val="SML1"/>
      </w:pPr>
      <w:r w:rsidRPr="00B908A3">
        <w:t>Termín plnění</w:t>
      </w:r>
    </w:p>
    <w:p w14:paraId="18C6336C" w14:textId="3976058F" w:rsidR="00B46B3E" w:rsidRPr="00B908A3" w:rsidRDefault="00373EAC" w:rsidP="00FF4638">
      <w:pPr>
        <w:pStyle w:val="SML11"/>
        <w:ind w:hanging="792"/>
      </w:pPr>
      <w:r w:rsidRPr="00B908A3">
        <w:t>Smlouva je uzavřena na dobu určitou, a to</w:t>
      </w:r>
      <w:r w:rsidR="00DF7770" w:rsidRPr="00B908A3">
        <w:t xml:space="preserve"> nejpozději do </w:t>
      </w:r>
      <w:r w:rsidR="007602AB" w:rsidRPr="00B908A3">
        <w:t>30.</w:t>
      </w:r>
      <w:r w:rsidR="00047839" w:rsidRPr="00B908A3">
        <w:t xml:space="preserve"> </w:t>
      </w:r>
      <w:r w:rsidRPr="00B908A3">
        <w:t>06</w:t>
      </w:r>
      <w:r w:rsidR="007602AB" w:rsidRPr="00B908A3">
        <w:t>.</w:t>
      </w:r>
      <w:r w:rsidR="00047839" w:rsidRPr="00B908A3">
        <w:t xml:space="preserve"> </w:t>
      </w:r>
      <w:r w:rsidR="007602AB" w:rsidRPr="00B908A3">
        <w:t>202</w:t>
      </w:r>
      <w:r w:rsidR="009E484A" w:rsidRPr="00B908A3">
        <w:t>2</w:t>
      </w:r>
      <w:r w:rsidRPr="00B908A3">
        <w:t xml:space="preserve"> ode dne nabytí účinnosti Smlouvy</w:t>
      </w:r>
      <w:r w:rsidR="00047839" w:rsidRPr="00B908A3">
        <w:t>.</w:t>
      </w:r>
      <w:r w:rsidR="006149E8" w:rsidRPr="00B908A3">
        <w:t xml:space="preserve"> </w:t>
      </w:r>
    </w:p>
    <w:p w14:paraId="267A45EE" w14:textId="086BB1E9" w:rsidR="00DF7770" w:rsidRPr="00B908A3" w:rsidRDefault="00373EAC" w:rsidP="00FF4638">
      <w:pPr>
        <w:pStyle w:val="SML1"/>
      </w:pPr>
      <w:r w:rsidRPr="00B908A3">
        <w:t>Místo plnění</w:t>
      </w:r>
    </w:p>
    <w:p w14:paraId="02FBFB60" w14:textId="72BF9623" w:rsidR="00FF4638" w:rsidRPr="00B908A3" w:rsidRDefault="00DF7770" w:rsidP="00FF4638">
      <w:pPr>
        <w:pStyle w:val="SML11"/>
        <w:ind w:hanging="792"/>
      </w:pPr>
      <w:r w:rsidRPr="00B908A3">
        <w:t xml:space="preserve">Místem předání </w:t>
      </w:r>
      <w:r w:rsidR="00373EAC" w:rsidRPr="00B908A3">
        <w:t xml:space="preserve">výstupů plnění dle této Smlouvy </w:t>
      </w:r>
      <w:r w:rsidRPr="00B908A3">
        <w:t xml:space="preserve">je sídlo </w:t>
      </w:r>
      <w:r w:rsidR="00D3454A" w:rsidRPr="00B908A3">
        <w:t>Objednatele</w:t>
      </w:r>
      <w:r w:rsidR="00373EAC" w:rsidRPr="00B908A3">
        <w:t>, pokud se Smluvní strany nedohodnou jinak</w:t>
      </w:r>
      <w:r w:rsidR="0092059B" w:rsidRPr="00B908A3">
        <w:t>.</w:t>
      </w:r>
      <w:r w:rsidR="00471889" w:rsidRPr="00B908A3">
        <w:t xml:space="preserve"> </w:t>
      </w:r>
    </w:p>
    <w:p w14:paraId="52908D86" w14:textId="6FDA967D" w:rsidR="00DF7770" w:rsidRPr="00B908A3" w:rsidRDefault="00CF39DB" w:rsidP="00FF4638">
      <w:pPr>
        <w:pStyle w:val="SML1"/>
      </w:pPr>
      <w:r w:rsidRPr="00B908A3">
        <w:t>Práva a povinnosti Smluvních stran</w:t>
      </w:r>
      <w:r w:rsidR="00050593" w:rsidRPr="00B908A3">
        <w:t xml:space="preserve">, </w:t>
      </w:r>
      <w:r w:rsidR="00B52E7B" w:rsidRPr="00B908A3">
        <w:t>odpovědnost za vady</w:t>
      </w:r>
    </w:p>
    <w:p w14:paraId="4E378003" w14:textId="35FD03D2" w:rsidR="00FF4638" w:rsidRPr="00B908A3" w:rsidRDefault="00CF39DB" w:rsidP="00FF4638">
      <w:pPr>
        <w:pStyle w:val="SML11"/>
        <w:ind w:hanging="792"/>
      </w:pPr>
      <w:r w:rsidRPr="00B908A3">
        <w:t>Agentura je povinna vykonávat činnosti na základě této Smlouvy řádně a včas, přičemž je povinna v průběhu realizace předmětu Smlouvy dodržovat obecně závazné předpisy a normy, postupovat s náležitou odbornou péčí a chránit zájmy Objednatele.</w:t>
      </w:r>
    </w:p>
    <w:p w14:paraId="0AB4B265" w14:textId="5091B72B" w:rsidR="00CF39DB" w:rsidRPr="00B908A3" w:rsidRDefault="00CF39DB" w:rsidP="00FF4638">
      <w:pPr>
        <w:pStyle w:val="SML11"/>
        <w:ind w:hanging="792"/>
      </w:pPr>
      <w:r w:rsidRPr="00B908A3">
        <w:t>Agentura je povinna v průběhu plnění informovat Objednatele o skutečnostech, které mohou mít vliv na realizac</w:t>
      </w:r>
      <w:r w:rsidR="008B1AE5" w:rsidRPr="00B908A3">
        <w:t>i</w:t>
      </w:r>
      <w:r w:rsidRPr="00B908A3">
        <w:t xml:space="preserve"> předmětu Smlouvy.</w:t>
      </w:r>
    </w:p>
    <w:p w14:paraId="1BCD2E27" w14:textId="790BBB99" w:rsidR="007C42E1" w:rsidRPr="00B908A3" w:rsidRDefault="007C42E1" w:rsidP="00FF4638">
      <w:pPr>
        <w:pStyle w:val="SML11"/>
        <w:ind w:hanging="792"/>
      </w:pPr>
      <w:r w:rsidRPr="00B908A3">
        <w:t>Agentura na sebe přebírá nebezpečí změny okolností ve smyslu § 1765 Občanského zákoníku.</w:t>
      </w:r>
    </w:p>
    <w:p w14:paraId="1695CD06" w14:textId="5F3650F2" w:rsidR="00CF39DB" w:rsidRPr="00B908A3" w:rsidRDefault="00CF39DB" w:rsidP="00FF4638">
      <w:pPr>
        <w:pStyle w:val="SML11"/>
        <w:ind w:hanging="792"/>
      </w:pPr>
      <w:r w:rsidRPr="00B908A3">
        <w:t>Agentura je povinna si počínat v průběhu plnění tak, aby v tomto průběhu nezpůsobila Objednateli ani žádné třetí osobě škodu a aby nepoškodil</w:t>
      </w:r>
      <w:r w:rsidR="008B1AE5" w:rsidRPr="00B908A3">
        <w:t>a</w:t>
      </w:r>
      <w:r w:rsidRPr="00B908A3">
        <w:t xml:space="preserve"> dobré jméno Objednatele.</w:t>
      </w:r>
    </w:p>
    <w:p w14:paraId="2E69FA2A" w14:textId="166FC734" w:rsidR="00CF39DB" w:rsidRPr="00B908A3" w:rsidRDefault="00CF39DB" w:rsidP="00FF4638">
      <w:pPr>
        <w:pStyle w:val="SML11"/>
        <w:ind w:hanging="792"/>
      </w:pPr>
      <w:r w:rsidRPr="00B908A3">
        <w:t xml:space="preserve">Agentura je povinna upozornit Objednatele na nevhodnost, neúplnost nebo protiprávnost jeho pokynů, přijatých opatření nebo poskytnutých </w:t>
      </w:r>
      <w:r w:rsidR="00B52E7B" w:rsidRPr="00B908A3">
        <w:t>podkladů</w:t>
      </w:r>
      <w:r w:rsidRPr="00B908A3">
        <w:t>, a to bez zbytečného odkladu poté, co danou skutečnost zjistí.</w:t>
      </w:r>
    </w:p>
    <w:p w14:paraId="36294BBE" w14:textId="450397F8" w:rsidR="00CF39DB" w:rsidRPr="00B908A3" w:rsidRDefault="00CF39DB" w:rsidP="00FF4638">
      <w:pPr>
        <w:pStyle w:val="SML11"/>
        <w:ind w:hanging="792"/>
      </w:pPr>
      <w:r w:rsidRPr="00B908A3">
        <w:t>Agentura je povinna vrátit veškeré věci, které jí Objednatel předal k zabezpečení realizace předmětu Smlouvy nebo které vznikly Agentuře v</w:t>
      </w:r>
      <w:r w:rsidR="00B52E7B" w:rsidRPr="00B908A3">
        <w:t xml:space="preserve"> důsledku a v </w:t>
      </w:r>
      <w:r w:rsidRPr="00B908A3">
        <w:t xml:space="preserve">souvislosti s realizací předmětu Smlouvy, a to na jeho žádost a bez zbytečného odkladu po </w:t>
      </w:r>
      <w:r w:rsidR="00FE30C6" w:rsidRPr="00B908A3">
        <w:t>skončení realizace předmětu Smlouvy.</w:t>
      </w:r>
    </w:p>
    <w:p w14:paraId="6F16E599" w14:textId="7EDD68B0" w:rsidR="00FE30C6" w:rsidRPr="00B908A3" w:rsidRDefault="00FE30C6" w:rsidP="00FF4638">
      <w:pPr>
        <w:pStyle w:val="SML11"/>
        <w:ind w:hanging="792"/>
      </w:pPr>
      <w:r w:rsidRPr="00B908A3">
        <w:t>Agentura je povinna poskytovat Objednateli na jeho žádost veškeré informace o průběhu realizace předmětu Smlouvy, zejména pravdivě a úplně odpovídat na dotazy Objednatele přímo s touto realizací související.</w:t>
      </w:r>
    </w:p>
    <w:p w14:paraId="2E9DC556" w14:textId="77777777" w:rsidR="00FE30C6" w:rsidRPr="00B908A3" w:rsidRDefault="00FE30C6" w:rsidP="00FE30C6">
      <w:pPr>
        <w:pStyle w:val="SML11"/>
        <w:ind w:hanging="792"/>
      </w:pPr>
      <w:r w:rsidRPr="00B908A3">
        <w:t>Každá smluvní strana určuje kontaktní osobu pro komunikaci. Pokud se Smluvní strany nedohodnou jinak, bude Objednatel s Agenturou komunikovat prostřednictvím kontaktních osob uvedených v záhlaví této Smlouvy.</w:t>
      </w:r>
    </w:p>
    <w:p w14:paraId="0BEF78D7" w14:textId="09BE4D94" w:rsidR="00FE30C6" w:rsidRPr="00B908A3" w:rsidRDefault="00FE30C6" w:rsidP="00FE30C6">
      <w:pPr>
        <w:pStyle w:val="SML11"/>
        <w:ind w:hanging="792"/>
      </w:pPr>
      <w:r w:rsidRPr="00B908A3">
        <w:t xml:space="preserve">Výstupy z poskytnutého plnění, které vzniknou v průběhu a v souvislosti s plněním, se stávají okamžikem jejich předání Objednateli jeho vlastnictvím. Agentura nesmí poskytnout žádný z těchto výstupů třetí straně bez předchozího písemného souhlasu Objednatele. Agentura se ve smyslu článku 10 této Smlouvy zavazuje poskytnout </w:t>
      </w:r>
      <w:r w:rsidRPr="00B908A3">
        <w:lastRenderedPageBreak/>
        <w:t xml:space="preserve">Objednateli neomezené licence k užití </w:t>
      </w:r>
      <w:r w:rsidR="00B52E7B" w:rsidRPr="00B908A3">
        <w:t xml:space="preserve">autorských </w:t>
      </w:r>
      <w:r w:rsidRPr="00B908A3">
        <w:t>děl vzniklých realizací předmětu Smlouvy.</w:t>
      </w:r>
    </w:p>
    <w:p w14:paraId="1C7C3133" w14:textId="77777777" w:rsidR="00724462" w:rsidRDefault="00FE30C6" w:rsidP="00724462">
      <w:pPr>
        <w:pStyle w:val="SML11"/>
        <w:ind w:hanging="792"/>
      </w:pPr>
      <w:r w:rsidRPr="00DB288F">
        <w:t xml:space="preserve">Objednatel je oprávněn požadovat po Agentuře </w:t>
      </w:r>
      <w:r>
        <w:t xml:space="preserve">poskytnutí služeb či realizaci jiného plnění </w:t>
      </w:r>
      <w:r w:rsidRPr="00DB288F">
        <w:t xml:space="preserve">ve lhůtách přiměřených jejich povaze. To se netýká naléhavých případů, kterými se pro účely této </w:t>
      </w:r>
      <w:r>
        <w:t>Smlouvy</w:t>
      </w:r>
      <w:r w:rsidRPr="00DB288F">
        <w:t xml:space="preserve"> rozumí situace, kdy Objednatel potřebuje bezodkladně poskytnout </w:t>
      </w:r>
      <w:r>
        <w:t>s</w:t>
      </w:r>
      <w:r w:rsidRPr="00DB288F">
        <w:t>lužbu a jejím neposkytnutím Objednateli hrozí vážná újma na jeho právech, či právem chráněných zájmech.</w:t>
      </w:r>
    </w:p>
    <w:p w14:paraId="487DC685" w14:textId="7B2F34F7" w:rsidR="00724462" w:rsidRDefault="00050593" w:rsidP="00724462">
      <w:pPr>
        <w:pStyle w:val="SML11"/>
        <w:ind w:hanging="792"/>
      </w:pPr>
      <w:r>
        <w:t>Předmět Smlouvy musí být realizován způsobem a za podmínek stanovených touto Smlouvou. Nejsou-li touto Smlouvou výslovně upraveny podmínky a způsob realizace předmětu Smlouvy (kvalita či kvantita plnění), je Agentura povinna řídit se pokyny Objednatele.</w:t>
      </w:r>
    </w:p>
    <w:p w14:paraId="5D0FD067" w14:textId="377EB444" w:rsidR="00050593" w:rsidRDefault="00050593" w:rsidP="00724462">
      <w:pPr>
        <w:pStyle w:val="SML11"/>
        <w:ind w:hanging="792"/>
      </w:pPr>
      <w:r>
        <w:t xml:space="preserve">Objednatel nabývá vlastnické právo ke všem předmětům určeným pro realizaci předmětu Smlouvy, které Agentura nabude nebo zhotoví nebo na jeho pokyn zhotoví třetí osoba za účelem realizace předmětu Smlouvy, a to k okamžiku jeho nabytí nebo zhotovení Agenturou nebo zhotovením třetí osobou na pokyn Agentury. </w:t>
      </w:r>
    </w:p>
    <w:p w14:paraId="6E67711C" w14:textId="77777777" w:rsidR="00724462" w:rsidRDefault="00724462" w:rsidP="00724462">
      <w:pPr>
        <w:pStyle w:val="SML11"/>
        <w:ind w:hanging="792"/>
      </w:pPr>
      <w:r w:rsidRPr="00DB288F">
        <w:t xml:space="preserve">Agentura je povinna písemně oznámit Objednateli záměr přihlásit </w:t>
      </w:r>
      <w:r>
        <w:t>kampaň</w:t>
      </w:r>
      <w:r w:rsidRPr="00DB288F">
        <w:t xml:space="preserve"> do soutěž</w:t>
      </w:r>
      <w:r>
        <w:t>í.</w:t>
      </w:r>
    </w:p>
    <w:p w14:paraId="4E30696E" w14:textId="67B625B1" w:rsidR="00FE30C6" w:rsidRPr="00B908A3" w:rsidRDefault="00724462" w:rsidP="00724462">
      <w:pPr>
        <w:pStyle w:val="SML11"/>
        <w:ind w:hanging="792"/>
      </w:pPr>
      <w:r w:rsidRPr="00B908A3">
        <w:t>Agentura se zavazuje předat Objednateli kvalitativní analýzu kampaně nejpozději do 30 dnů po ukončení realizace předmětu Smlouvy.</w:t>
      </w:r>
    </w:p>
    <w:p w14:paraId="51D0D376" w14:textId="47F7EC0B" w:rsidR="00050593" w:rsidRDefault="00050593" w:rsidP="00724462">
      <w:pPr>
        <w:pStyle w:val="SML11"/>
        <w:ind w:hanging="792"/>
      </w:pPr>
      <w:r>
        <w:t xml:space="preserve">Jakékoliv odchýlení se Agentury od podmínek této Smlouvy </w:t>
      </w:r>
      <w:r w:rsidR="00B52E7B">
        <w:t>nebo</w:t>
      </w:r>
      <w:r>
        <w:t xml:space="preserve"> pokynů Objednatele je vadou předmětu Smlouvy a znamená podstatné porušení Smlouvy.</w:t>
      </w:r>
    </w:p>
    <w:p w14:paraId="3E7DA0F0" w14:textId="08C59F77" w:rsidR="00050593" w:rsidRDefault="00050593" w:rsidP="00724462">
      <w:pPr>
        <w:pStyle w:val="SML11"/>
        <w:ind w:hanging="792"/>
      </w:pPr>
      <w:r>
        <w:t>Objednatel je oprávněn zjištěné vady předmětu Smlouvy reklamovat u Agentury kdykoliv v průběhu realizace předmětu Smlouvy. Zjištěné vady je Agentura povinna neprodleně odstranit.</w:t>
      </w:r>
    </w:p>
    <w:p w14:paraId="208359A5" w14:textId="6705A570" w:rsidR="00050593" w:rsidRDefault="00050593" w:rsidP="00724462">
      <w:pPr>
        <w:pStyle w:val="SML11"/>
        <w:ind w:hanging="792"/>
      </w:pPr>
      <w:r>
        <w:t>Agentura uhradí Objednateli v plné výši jakoukoliv újmu, včetně újmy nemajetkové, kterou Agentura Objednateli v jakékoliv souvislosti s plněním této Smlouvy způsobí. Agentura uhradí náklady vzniklé při uplatňování práv z odpovědnosti za vad</w:t>
      </w:r>
      <w:r w:rsidR="00C74C05">
        <w:t>y předmětu Smlouvy.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612F8CDB" w:rsidR="00FB41AA" w:rsidRDefault="00703331" w:rsidP="00FB41AA">
      <w:pPr>
        <w:pStyle w:val="SML11"/>
        <w:ind w:hanging="792"/>
      </w:pPr>
      <w:r>
        <w:t xml:space="preserve">Agentura je povinna zaplatit smluvní pokutu ve výši </w:t>
      </w:r>
      <w:proofErr w:type="gramStart"/>
      <w:r>
        <w:t>1.000,-</w:t>
      </w:r>
      <w:proofErr w:type="gramEnd"/>
      <w:r>
        <w:t xml:space="preserve"> Kč za každý případ porušení povinnosti jednat v souladu s povinností stanovenou touto Smlouvou nebo v souladu s pokynem Objednatele.</w:t>
      </w:r>
    </w:p>
    <w:p w14:paraId="07C0A706" w14:textId="22247EEE" w:rsidR="00FB41AA" w:rsidRDefault="00703331" w:rsidP="00FB41AA">
      <w:pPr>
        <w:pStyle w:val="SML11"/>
        <w:ind w:hanging="792"/>
      </w:pPr>
      <w:r>
        <w:t>Agentura</w:t>
      </w:r>
      <w:r w:rsidRPr="00FB41AA">
        <w:t xml:space="preserve"> </w:t>
      </w:r>
      <w:r w:rsidR="00DF7770" w:rsidRPr="00FB41AA">
        <w:t>je dále povin</w:t>
      </w:r>
      <w:r>
        <w:t>na</w:t>
      </w:r>
      <w:r w:rsidR="00DF7770" w:rsidRPr="00FB41AA">
        <w:t xml:space="preserve"> </w:t>
      </w:r>
      <w:r w:rsidR="002B0679">
        <w:t>O</w:t>
      </w:r>
      <w:r w:rsidR="002B0679" w:rsidRPr="00FB41AA">
        <w:t xml:space="preserve">bjednateli </w:t>
      </w:r>
      <w:r w:rsidR="00DF7770" w:rsidRPr="00FB41AA">
        <w:t xml:space="preserve">zaplatit smluvní pokutu za porušení níže uvedených ustanovení této </w:t>
      </w:r>
      <w:r w:rsidR="005376E0">
        <w:t>S</w:t>
      </w:r>
      <w:r w:rsidR="00DF7770" w:rsidRPr="00FB41AA">
        <w:t>mlouvy:</w:t>
      </w:r>
    </w:p>
    <w:p w14:paraId="41A35055" w14:textId="1AA4F7D1" w:rsidR="002D2192" w:rsidRDefault="002D2192" w:rsidP="00FB41AA">
      <w:pPr>
        <w:pStyle w:val="SML111"/>
      </w:pPr>
      <w:r>
        <w:t xml:space="preserve">Za každé jednotlivé nedostavení se na </w:t>
      </w:r>
      <w:r w:rsidR="00703331">
        <w:t>PV</w:t>
      </w:r>
      <w:r>
        <w:t xml:space="preserve"> (</w:t>
      </w:r>
      <w:r w:rsidR="00EC650F">
        <w:t xml:space="preserve">vyjma zrušení účasti dle </w:t>
      </w:r>
      <w:r>
        <w:t xml:space="preserve">odst. </w:t>
      </w:r>
      <w:r w:rsidR="00703331">
        <w:t>3.5</w:t>
      </w:r>
      <w:r>
        <w:t xml:space="preserve">. </w:t>
      </w:r>
      <w:r w:rsidR="005376E0">
        <w:t>S</w:t>
      </w:r>
      <w:r>
        <w:t xml:space="preserve">mlouvy) je </w:t>
      </w:r>
      <w:r w:rsidR="00703331">
        <w:t xml:space="preserve">Agentura </w:t>
      </w:r>
      <w:r>
        <w:t>povin</w:t>
      </w:r>
      <w:r w:rsidR="00703331">
        <w:t>na</w:t>
      </w:r>
      <w:r>
        <w:t xml:space="preserve"> zaplatit </w:t>
      </w:r>
      <w:r w:rsidR="002B0679">
        <w:t>O</w:t>
      </w:r>
      <w:r>
        <w:t xml:space="preserve">bjednateli smluvní pokutu ve výši </w:t>
      </w:r>
      <w:proofErr w:type="gramStart"/>
      <w:r w:rsidR="007D7A05">
        <w:t>5</w:t>
      </w:r>
      <w:r>
        <w:t>.000,-</w:t>
      </w:r>
      <w:proofErr w:type="gramEnd"/>
      <w:r>
        <w:t xml:space="preserve"> Kč.</w:t>
      </w:r>
    </w:p>
    <w:p w14:paraId="1F40655C" w14:textId="476DA5E2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</w:t>
      </w:r>
      <w:r w:rsidR="00703331">
        <w:t>0</w:t>
      </w:r>
      <w:r w:rsidRPr="00FB41AA">
        <w:t xml:space="preserve"> této </w:t>
      </w:r>
      <w:r w:rsidR="000C47A2">
        <w:t>S</w:t>
      </w:r>
      <w:r w:rsidRPr="00FB41AA">
        <w:t xml:space="preserve">mlouvy týkajících se ochrany důvěrných informací, je </w:t>
      </w:r>
      <w:r w:rsidR="00703331">
        <w:t>Agentura</w:t>
      </w:r>
      <w:r w:rsidR="00703331" w:rsidRPr="00FB41AA">
        <w:t xml:space="preserve"> povin</w:t>
      </w:r>
      <w:r w:rsidR="00703331">
        <w:t>na</w:t>
      </w:r>
      <w:r w:rsidR="00703331" w:rsidRPr="00FB41AA">
        <w:t xml:space="preserve"> </w:t>
      </w:r>
      <w:r w:rsidRPr="00FB41AA">
        <w:t xml:space="preserve">zaplatit </w:t>
      </w:r>
      <w:r w:rsidR="007202EF">
        <w:t>O</w:t>
      </w:r>
      <w:r w:rsidR="007202EF" w:rsidRPr="00FB41AA">
        <w:t xml:space="preserve">bjednateli </w:t>
      </w:r>
      <w:r w:rsidRPr="00FB41AA">
        <w:t xml:space="preserve">smluvní pokutu ve výši </w:t>
      </w:r>
      <w:proofErr w:type="gramStart"/>
      <w:r w:rsidR="00F7697D">
        <w:t>80</w:t>
      </w:r>
      <w:r w:rsidRPr="00FB41AA">
        <w:t>.000,-</w:t>
      </w:r>
      <w:proofErr w:type="gramEnd"/>
      <w:r w:rsidRPr="00FB41AA">
        <w:t xml:space="preserve"> Kč.</w:t>
      </w:r>
    </w:p>
    <w:p w14:paraId="6286972A" w14:textId="4D50492B" w:rsidR="00FB41AA" w:rsidRDefault="00DF7770" w:rsidP="00FB41AA">
      <w:pPr>
        <w:pStyle w:val="SML111"/>
      </w:pPr>
      <w:r w:rsidRPr="00FB41AA">
        <w:lastRenderedPageBreak/>
        <w:t>Neodstraní-li</w:t>
      </w:r>
      <w:r w:rsidR="00703331">
        <w:t xml:space="preserve"> Agentura</w:t>
      </w:r>
      <w:r w:rsidR="007202EF" w:rsidRPr="00FB41AA">
        <w:t xml:space="preserve"> </w:t>
      </w:r>
      <w:r w:rsidRPr="00FB41AA">
        <w:t xml:space="preserve">vadu </w:t>
      </w:r>
      <w:r w:rsidR="00703331">
        <w:t xml:space="preserve">předmětu Smlouvy ani </w:t>
      </w:r>
      <w:r w:rsidRPr="00FB41AA">
        <w:t>do 14 dnů od</w:t>
      </w:r>
      <w:r w:rsidR="00F7697D">
        <w:t xml:space="preserve">e dne </w:t>
      </w:r>
      <w:r w:rsidR="00703331">
        <w:t>uplatnění reklamace této vady Objednatelem</w:t>
      </w:r>
      <w:r w:rsidRPr="00FB41AA">
        <w:t xml:space="preserve">, zaplatí </w:t>
      </w:r>
      <w:r w:rsidR="007202EF">
        <w:t>O</w:t>
      </w:r>
      <w:r w:rsidR="007202EF" w:rsidRPr="00FB41AA">
        <w:t xml:space="preserve">bjednateli </w:t>
      </w:r>
      <w:r w:rsidRPr="00FB41AA">
        <w:t xml:space="preserve">smluvní pokutu ve výši </w:t>
      </w:r>
      <w:proofErr w:type="gramStart"/>
      <w:r w:rsidRPr="00FB41AA">
        <w:t>1</w:t>
      </w:r>
      <w:r w:rsidR="00DE273F">
        <w:t>.</w:t>
      </w:r>
      <w:r w:rsidRPr="00FB41AA">
        <w:t>000,-</w:t>
      </w:r>
      <w:proofErr w:type="gramEnd"/>
      <w:r w:rsidRPr="00FB41AA">
        <w:t xml:space="preserve"> Kč za každý den prodlení.</w:t>
      </w:r>
    </w:p>
    <w:p w14:paraId="34B3431B" w14:textId="40BEA72D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703331">
        <w:t>Agenturou</w:t>
      </w:r>
      <w:r w:rsidRPr="00FB41AA">
        <w:t>, je t</w:t>
      </w:r>
      <w:r w:rsidR="00703331">
        <w:t>ato</w:t>
      </w:r>
      <w:r w:rsidRPr="00FB41AA">
        <w:t xml:space="preserve"> povin</w:t>
      </w:r>
      <w:r w:rsidR="00703331">
        <w:t>na</w:t>
      </w:r>
      <w:r w:rsidRPr="00FB41AA">
        <w:t xml:space="preserve"> škodu </w:t>
      </w:r>
      <w:r w:rsidR="007202EF">
        <w:t>O</w:t>
      </w:r>
      <w:r w:rsidR="007202EF" w:rsidRPr="00FB41AA">
        <w:t xml:space="preserve">bjednateli </w:t>
      </w:r>
      <w:r w:rsidRPr="00FB41AA">
        <w:t xml:space="preserve">uhradit. </w:t>
      </w:r>
    </w:p>
    <w:p w14:paraId="01707F2C" w14:textId="52616524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703331">
        <w:t>Agentury</w:t>
      </w:r>
      <w:r w:rsidR="00703331" w:rsidRPr="00FB41AA">
        <w:t xml:space="preserve"> </w:t>
      </w:r>
      <w:r w:rsidRPr="00FB41AA">
        <w:t>vznikl právní nárok, započíst proti kterékoliv úhradě, která přísluší</w:t>
      </w:r>
      <w:r w:rsidR="00703331">
        <w:t xml:space="preserve"> Agentuře</w:t>
      </w:r>
      <w:r w:rsidRPr="00FB41AA">
        <w:t xml:space="preserve"> dle příslušných ustanovení </w:t>
      </w:r>
      <w:r w:rsidR="001E0754">
        <w:t>S</w:t>
      </w:r>
      <w:r w:rsidRPr="00FB41AA">
        <w:t>mlouvy.</w:t>
      </w:r>
    </w:p>
    <w:p w14:paraId="297CD72E" w14:textId="17053C6F" w:rsidR="00FB41AA" w:rsidRDefault="00DF7770" w:rsidP="00AE05BE">
      <w:pPr>
        <w:pStyle w:val="SML11"/>
        <w:ind w:hanging="792"/>
      </w:pPr>
      <w:r w:rsidRPr="00FB41AA">
        <w:t xml:space="preserve">Smluvní pokuty sjednané dle tohoto článku </w:t>
      </w:r>
      <w:r w:rsidR="00F7697D">
        <w:t>jsou</w:t>
      </w:r>
      <w:r w:rsidR="00F7697D" w:rsidRPr="00FB41AA">
        <w:t xml:space="preserve"> splatn</w:t>
      </w:r>
      <w:r w:rsidR="00F7697D">
        <w:t>é</w:t>
      </w:r>
      <w:r w:rsidR="00F7697D" w:rsidRPr="00FB41AA">
        <w:t xml:space="preserve"> </w:t>
      </w:r>
      <w:r w:rsidRPr="00FB41AA">
        <w:t xml:space="preserve">do 15 dnů od </w:t>
      </w:r>
      <w:r w:rsidR="00F7697D">
        <w:t>výzvy Objednatele k jejich úhradě</w:t>
      </w:r>
      <w:r w:rsidRPr="00FB41AA">
        <w:t xml:space="preserve">, a to na účet </w:t>
      </w:r>
      <w:r w:rsidR="003C07F1">
        <w:t>O</w:t>
      </w:r>
      <w:r w:rsidR="003C07F1" w:rsidRPr="00FB41AA">
        <w:t xml:space="preserve">bjednatele </w:t>
      </w:r>
      <w:r w:rsidRPr="00FB41AA">
        <w:t xml:space="preserve">uvedený v záhlaví této </w:t>
      </w:r>
      <w:r w:rsidR="001E0754">
        <w:t>S</w:t>
      </w:r>
      <w:r w:rsidRPr="00FB41AA">
        <w:t xml:space="preserve">mlouvy. Objednatel je oprávněn započíst splatnou smluvní pokutu proti jakékoli pohledávce </w:t>
      </w:r>
      <w:r w:rsidR="00703331">
        <w:t>Agentury</w:t>
      </w:r>
      <w:r w:rsidR="00703331" w:rsidRPr="00FB41AA">
        <w:t xml:space="preserve"> </w:t>
      </w:r>
      <w:r w:rsidRPr="00FB41AA">
        <w:t xml:space="preserve">vůči </w:t>
      </w:r>
      <w:r w:rsidR="00DE273F">
        <w:t>O</w:t>
      </w:r>
      <w:r w:rsidRPr="00FB41AA">
        <w:t xml:space="preserve">bjednateli. </w:t>
      </w:r>
    </w:p>
    <w:p w14:paraId="72684BC5" w14:textId="54DEA564" w:rsidR="00FB41AA" w:rsidRDefault="00DF7770" w:rsidP="00AE05BE">
      <w:pPr>
        <w:pStyle w:val="SML11"/>
        <w:ind w:hanging="792"/>
      </w:pPr>
      <w:r w:rsidRPr="00FB41AA">
        <w:t xml:space="preserve">Ustanovením tohoto článku o smluvní pokutě není dotčeno </w:t>
      </w:r>
      <w:r w:rsidR="003C07F1">
        <w:t xml:space="preserve">právo </w:t>
      </w:r>
      <w:r w:rsidRPr="00FB41AA">
        <w:t xml:space="preserve">domáhat se </w:t>
      </w:r>
      <w:r w:rsidR="003C07F1" w:rsidRPr="00FB41AA">
        <w:t>náhrad</w:t>
      </w:r>
      <w:r w:rsidR="003C07F1">
        <w:t>y</w:t>
      </w:r>
      <w:r w:rsidR="003C07F1" w:rsidRPr="00FB41AA">
        <w:t xml:space="preserve"> </w:t>
      </w:r>
      <w:r w:rsidRPr="00FB41AA">
        <w:t>škody</w:t>
      </w:r>
      <w:r w:rsidR="00703331">
        <w:t xml:space="preserve"> a nemajetkové újmy</w:t>
      </w:r>
      <w:r w:rsidR="00F7697D">
        <w:t>.</w:t>
      </w:r>
    </w:p>
    <w:p w14:paraId="7C7BC19E" w14:textId="14AFFAD4" w:rsidR="00703331" w:rsidRDefault="00703331" w:rsidP="00AE05BE">
      <w:pPr>
        <w:pStyle w:val="SML11"/>
        <w:ind w:hanging="792"/>
      </w:pPr>
      <w:r>
        <w:t>Poruší-li Objednatel povinnost uhradit fakturu v</w:t>
      </w:r>
      <w:r w:rsidR="003A5364">
        <w:t>e lhůtě splatnosti, je povinen uhradit Agentuře zákonný úrok z prodlení ve výši podle právních předpisů.</w:t>
      </w:r>
    </w:p>
    <w:p w14:paraId="42AD0856" w14:textId="3EEC2DCA" w:rsidR="00DF7770" w:rsidRPr="00B908A3" w:rsidRDefault="003A5364" w:rsidP="00FB41AA">
      <w:pPr>
        <w:pStyle w:val="SML1"/>
      </w:pPr>
      <w:r w:rsidRPr="00B908A3">
        <w:t>Práva duševního vlastnictví</w:t>
      </w:r>
    </w:p>
    <w:p w14:paraId="2F948D13" w14:textId="4D099CD2" w:rsidR="00FB41AA" w:rsidRDefault="003A5364" w:rsidP="00FB41AA">
      <w:pPr>
        <w:pStyle w:val="SML11"/>
        <w:ind w:hanging="792"/>
      </w:pPr>
      <w:r>
        <w:t xml:space="preserve">Agentura </w:t>
      </w:r>
      <w:r w:rsidR="00DF7770" w:rsidRPr="00DF7770">
        <w:t xml:space="preserve">poskytne </w:t>
      </w:r>
      <w:r w:rsidR="002B0679">
        <w:t>O</w:t>
      </w:r>
      <w:r w:rsidR="002B0679" w:rsidRPr="00DF7770">
        <w:t xml:space="preserve">bjednateli </w:t>
      </w:r>
      <w:r w:rsidR="00DF7770" w:rsidRPr="00DF7770">
        <w:t xml:space="preserve">výhradní licenci </w:t>
      </w:r>
      <w:r w:rsidR="008C0613">
        <w:t xml:space="preserve">ke všem předmětům vytvořeným v rámci nebo v souvislosti s plněním předmětu </w:t>
      </w:r>
      <w:r>
        <w:t>S</w:t>
      </w:r>
      <w:r w:rsidR="008C0613">
        <w:t>mlouvy</w:t>
      </w:r>
      <w:r w:rsidR="00DF7770" w:rsidRPr="00DF7770">
        <w:t>,</w:t>
      </w:r>
      <w:r w:rsidR="008C0613">
        <w:t xml:space="preserve"> které mohou požívat ochrany práv duševního vlastnictví</w:t>
      </w:r>
      <w:r>
        <w:t xml:space="preserve"> (dále jen </w:t>
      </w:r>
      <w:r w:rsidR="00444907">
        <w:t>„</w:t>
      </w:r>
      <w:r w:rsidR="00444907" w:rsidRPr="00A147F4">
        <w:rPr>
          <w:b/>
          <w:bCs w:val="0"/>
        </w:rPr>
        <w:t>Díla</w:t>
      </w:r>
      <w:r w:rsidR="00444907">
        <w:t>“ nebo jednotně „</w:t>
      </w:r>
      <w:r w:rsidR="00444907" w:rsidRPr="00A147F4">
        <w:rPr>
          <w:b/>
          <w:bCs w:val="0"/>
        </w:rPr>
        <w:t>Dílo</w:t>
      </w:r>
      <w:r w:rsidR="00444907">
        <w:t>“</w:t>
      </w:r>
      <w:r>
        <w:t>)</w:t>
      </w:r>
      <w:r w:rsidR="008C0613">
        <w:t>,</w:t>
      </w:r>
      <w:r w:rsidR="00DF7770" w:rsidRPr="00DF7770">
        <w:t xml:space="preserve"> a</w:t>
      </w:r>
      <w:r w:rsidR="007370CF">
        <w:t> </w:t>
      </w:r>
      <w:r w:rsidR="00DF7770" w:rsidRPr="00DF7770">
        <w:t xml:space="preserve">to </w:t>
      </w:r>
      <w:r w:rsidR="008C0613">
        <w:t xml:space="preserve">licenci neomezenou </w:t>
      </w:r>
      <w:r w:rsidR="00DF7770" w:rsidRPr="00DF7770">
        <w:t>věcně, časově a místně.</w:t>
      </w:r>
    </w:p>
    <w:p w14:paraId="39C667EA" w14:textId="79A40EA3" w:rsidR="008C0613" w:rsidRDefault="008C0613" w:rsidP="00FB41AA">
      <w:pPr>
        <w:pStyle w:val="SML11"/>
        <w:ind w:hanging="792"/>
      </w:pPr>
      <w:r>
        <w:t xml:space="preserve">Objednatel je oprávněn upravovat či jinak měnit </w:t>
      </w:r>
      <w:r w:rsidR="003A5364">
        <w:t>D</w:t>
      </w:r>
      <w:r>
        <w:t>íl</w:t>
      </w:r>
      <w:r w:rsidR="003A5364">
        <w:t>a</w:t>
      </w:r>
      <w:r>
        <w:t xml:space="preserve">, </w:t>
      </w:r>
      <w:r w:rsidR="003A5364">
        <w:t xml:space="preserve">jejich </w:t>
      </w:r>
      <w:r>
        <w:t xml:space="preserve">název či části, spojit </w:t>
      </w:r>
      <w:r w:rsidR="003A5364">
        <w:t xml:space="preserve">Díla </w:t>
      </w:r>
      <w:r>
        <w:t xml:space="preserve">s jiným </w:t>
      </w:r>
      <w:r w:rsidR="003A5364">
        <w:t xml:space="preserve">autorskými díly </w:t>
      </w:r>
      <w:r>
        <w:t xml:space="preserve">či zařadit do </w:t>
      </w:r>
      <w:r w:rsidR="003A5364">
        <w:t xml:space="preserve">autorského </w:t>
      </w:r>
      <w:r>
        <w:t>díla souborného.</w:t>
      </w:r>
    </w:p>
    <w:p w14:paraId="050CC506" w14:textId="240FAAD3" w:rsidR="00FB41AA" w:rsidRDefault="003C07F1" w:rsidP="00FB41AA">
      <w:pPr>
        <w:pStyle w:val="SML11"/>
        <w:ind w:hanging="792"/>
      </w:pPr>
      <w:r>
        <w:t xml:space="preserve">Součástí licence je oprávnění </w:t>
      </w:r>
      <w:r w:rsidR="00DF7770" w:rsidRPr="00FB41AA">
        <w:t>Objednatel</w:t>
      </w:r>
      <w:r>
        <w:t>e</w:t>
      </w:r>
      <w:r w:rsidR="00DF7770" w:rsidRPr="00FB41AA">
        <w:t xml:space="preserve"> zcela nebo zčásti poskytnout </w:t>
      </w:r>
      <w:r>
        <w:t xml:space="preserve">tuto licenci </w:t>
      </w:r>
      <w:r w:rsidR="00DF7770" w:rsidRPr="00FB41AA">
        <w:t>třetí osobě (podlicence).</w:t>
      </w:r>
    </w:p>
    <w:p w14:paraId="2F35A0E1" w14:textId="25D275A2" w:rsidR="00FB41AA" w:rsidRDefault="00DF7770" w:rsidP="00FB41AA">
      <w:pPr>
        <w:pStyle w:val="SML11"/>
        <w:ind w:hanging="792"/>
      </w:pPr>
      <w:r w:rsidRPr="00FB41AA">
        <w:t xml:space="preserve">Odměna za poskytnutí licence je zahrnuta </w:t>
      </w:r>
      <w:r w:rsidR="00444907">
        <w:t>v</w:t>
      </w:r>
      <w:r w:rsidR="003A5364">
        <w:t xml:space="preserve"> Ceně </w:t>
      </w:r>
      <w:r w:rsidRPr="00FB41AA">
        <w:t xml:space="preserve">dle čl. </w:t>
      </w:r>
      <w:r w:rsidR="007370CF">
        <w:t xml:space="preserve">3 </w:t>
      </w:r>
      <w:r w:rsidRPr="00FB41AA">
        <w:t xml:space="preserve">této </w:t>
      </w:r>
      <w:r w:rsidR="00851AE6">
        <w:t>S</w:t>
      </w:r>
      <w:r w:rsidRPr="00FB41AA">
        <w:t>mlouvy.</w:t>
      </w:r>
    </w:p>
    <w:p w14:paraId="625DC25C" w14:textId="32A0471C" w:rsidR="008C0613" w:rsidRDefault="008C0613" w:rsidP="00FB41AA">
      <w:pPr>
        <w:pStyle w:val="SML11"/>
        <w:ind w:hanging="792"/>
      </w:pPr>
      <w:r>
        <w:t xml:space="preserve">Bude-li výsledkem nebo součástí </w:t>
      </w:r>
      <w:r w:rsidR="00444907">
        <w:t xml:space="preserve">příslušného </w:t>
      </w:r>
      <w:r w:rsidR="003A5364">
        <w:t>D</w:t>
      </w:r>
      <w:r>
        <w:t xml:space="preserve">íla i zaměstnanecké či kolektivní dílo, které je předmětem autorských práv, práv souvisejících s právem autorským či práv pořizovatele k jím pořízené databázi, postupuje </w:t>
      </w:r>
      <w:r w:rsidR="003A5364">
        <w:t xml:space="preserve">Agentura </w:t>
      </w:r>
      <w:r>
        <w:t xml:space="preserve">jako zaměstnavatel či osoba, pod jejímž vedením je </w:t>
      </w:r>
      <w:r w:rsidR="003A5364">
        <w:t>D</w:t>
      </w:r>
      <w:r>
        <w:t xml:space="preserve">ílo vytvářeno a uváděno na veřejnost, ke dni </w:t>
      </w:r>
      <w:r w:rsidR="003A5364">
        <w:t>vytvoření D</w:t>
      </w:r>
      <w:r>
        <w:t>íla právo výkonu majetkových práv autora k </w:t>
      </w:r>
      <w:r w:rsidR="003A5364">
        <w:t>D</w:t>
      </w:r>
      <w:r>
        <w:t>ílu na Objednatele</w:t>
      </w:r>
      <w:r w:rsidR="00B847FD">
        <w:t>, přičemž výše odměny za takové postoupení je zahrnuta již v </w:t>
      </w:r>
      <w:r w:rsidR="003A5364">
        <w:t>Ceně</w:t>
      </w:r>
      <w:r w:rsidR="00B847FD">
        <w:t>.</w:t>
      </w:r>
    </w:p>
    <w:p w14:paraId="55D70DDD" w14:textId="72F84835" w:rsidR="00B847FD" w:rsidRDefault="00444907" w:rsidP="00FB41AA">
      <w:pPr>
        <w:pStyle w:val="SML11"/>
        <w:ind w:hanging="792"/>
      </w:pPr>
      <w:r>
        <w:t xml:space="preserve">Agentura </w:t>
      </w:r>
      <w:r w:rsidR="00B847FD">
        <w:t xml:space="preserve">dále prohlašuje, že autor </w:t>
      </w:r>
      <w:r>
        <w:t>příslušného D</w:t>
      </w:r>
      <w:r w:rsidR="00B847FD">
        <w:t xml:space="preserve">íla svolil k jeho zveřejnění, úpravám nebo jiným změnám, spojení </w:t>
      </w:r>
      <w:r>
        <w:t>D</w:t>
      </w:r>
      <w:r w:rsidR="00B847FD">
        <w:t xml:space="preserve">íla s jiným dílem, zařazení do díla souborného, dokončení svého zaměstnaneckého díla, jakož i k tomu, aby </w:t>
      </w:r>
      <w:r>
        <w:t xml:space="preserve">Agentura </w:t>
      </w:r>
      <w:r w:rsidR="00B847FD">
        <w:t>uváděl</w:t>
      </w:r>
      <w:r>
        <w:t>a</w:t>
      </w:r>
      <w:r w:rsidR="00B847FD">
        <w:t xml:space="preserve"> zaměstnanecké dílo na veřejnost pod svým názvem a dále že autor souhlasil s dalším postoupením výkonu těchto prá</w:t>
      </w:r>
      <w:r w:rsidR="006B7144">
        <w:t>v na Objednatele a z Objednatele na třetí osoby.</w:t>
      </w:r>
    </w:p>
    <w:p w14:paraId="5F123C82" w14:textId="1574B35F" w:rsidR="004D0C0F" w:rsidRDefault="00444907" w:rsidP="00FB41AA">
      <w:pPr>
        <w:pStyle w:val="SML11"/>
        <w:ind w:hanging="792"/>
      </w:pPr>
      <w:r>
        <w:t xml:space="preserve">Agentura </w:t>
      </w:r>
      <w:r w:rsidR="004D0C0F">
        <w:t xml:space="preserve">se zavazuje, že při vypracování </w:t>
      </w:r>
      <w:r>
        <w:t xml:space="preserve">Děl </w:t>
      </w:r>
      <w:r w:rsidR="004D0C0F">
        <w:t>neporuší práva třetích osob, která těmto osobám mohou plynout z práv duševního vlastnictví, zejména z autorských práv a</w:t>
      </w:r>
      <w:r w:rsidR="00CE0D6A">
        <w:t> </w:t>
      </w:r>
      <w:r w:rsidR="004D0C0F">
        <w:t xml:space="preserve">práv průmyslového vlastnictví. </w:t>
      </w:r>
      <w:r>
        <w:t xml:space="preserve">Agentura </w:t>
      </w:r>
      <w:r w:rsidR="004D0C0F">
        <w:t xml:space="preserve">se zavazuje, že Objednateli uhradí veškeré </w:t>
      </w:r>
      <w:r w:rsidR="004D0C0F">
        <w:lastRenderedPageBreak/>
        <w:t xml:space="preserve">náklady, výdaje, škody a majetkovou i nemajetkovou újmu, v případě uplatnění práv třetí osobou vůči Objednateli v souvislosti s porušením povinnosti </w:t>
      </w:r>
      <w:r>
        <w:t xml:space="preserve">Agentury </w:t>
      </w:r>
      <w:r w:rsidR="004D0C0F">
        <w:t>dle předchozí věty.</w:t>
      </w:r>
    </w:p>
    <w:p w14:paraId="5A0595A1" w14:textId="78AF345A" w:rsidR="00DF7770" w:rsidRPr="00DF7770" w:rsidRDefault="00DF7770" w:rsidP="00FB41AA">
      <w:pPr>
        <w:pStyle w:val="SML1"/>
      </w:pPr>
      <w:r w:rsidRPr="00DF7770">
        <w:t>Ochrana důvěrných informací</w:t>
      </w:r>
    </w:p>
    <w:p w14:paraId="0473B3F1" w14:textId="3911F245" w:rsidR="00772AAA" w:rsidRPr="000C47A2" w:rsidRDefault="00772AAA" w:rsidP="00FB41AA">
      <w:pPr>
        <w:pStyle w:val="SML11"/>
        <w:ind w:hanging="792"/>
      </w:pPr>
      <w:r w:rsidRPr="000C47A2">
        <w:t xml:space="preserve">Smluvní strany se zavazují, že bez souhlasu druhé Smluvní strany po dobu účinnosti Smlouvy a dále i po skončení účinnosti Smlouvy nebudou poskytovat třetím osobám jakékoli informace, které druhá Smluvní strana označila za důvěrné. Povinnost </w:t>
      </w:r>
      <w:r w:rsidR="00444907">
        <w:t>Objednatele</w:t>
      </w:r>
      <w:r w:rsidR="00444907" w:rsidRPr="000C47A2">
        <w:t xml:space="preserve"> </w:t>
      </w:r>
      <w:r w:rsidRPr="000C47A2">
        <w:t>poskytovat informace dle právních předpisů o svobodném přístupu k informacím tímto není dotčena.</w:t>
      </w:r>
    </w:p>
    <w:p w14:paraId="7ADBDD17" w14:textId="008801BC" w:rsidR="00772AAA" w:rsidRPr="000C47A2" w:rsidRDefault="00772AAA" w:rsidP="000C47A2">
      <w:pPr>
        <w:pStyle w:val="SML11"/>
        <w:ind w:hanging="792"/>
      </w:pPr>
      <w:r w:rsidRPr="000C47A2">
        <w:t xml:space="preserve">Smluvní strany se zavazují, že veškeré oboustranně poskytované informace v souvislosti s plněním podle této Smlouvy budou považovat za důvěrné a mimo rámec nezbytný pro plnění této Smlouvy o nich budou zachovávat mlčenlivost. S výjimkou případů, kdy </w:t>
      </w:r>
      <w:r w:rsidR="00444907">
        <w:t>Objednatel</w:t>
      </w:r>
      <w:r w:rsidR="00444907" w:rsidRPr="000C47A2">
        <w:t xml:space="preserve"> </w:t>
      </w:r>
      <w:r w:rsidRPr="000C47A2">
        <w:t>poskytuje informace na základě právních předpisů.</w:t>
      </w:r>
    </w:p>
    <w:p w14:paraId="06573EA6" w14:textId="6B8D499D" w:rsidR="00772AAA" w:rsidRPr="000C47A2" w:rsidRDefault="00772AAA" w:rsidP="000C47A2">
      <w:pPr>
        <w:pStyle w:val="SML11"/>
        <w:ind w:hanging="792"/>
      </w:pPr>
      <w:r w:rsidRPr="000C47A2">
        <w:t>Smluvní strany se zavazují při plnění Smlouvy postupovat v souladu s právními předpisy v oblasti ochrany osobních údajů, zejména s Nařízením Evropského parlamentu a Rady (EU) č. 2016/679, o ochraně fyzických osob v souvislosti se zpracováním osobních údajů a o volném pohybu těchto údajů a zákonem č. 110/2019 Sb., o zpracování osobních údajů, ve znění pozdějších předpisů.</w:t>
      </w:r>
    </w:p>
    <w:p w14:paraId="1CDAB1B1" w14:textId="726BEEEA" w:rsidR="00FB41AA" w:rsidRPr="000C47A2" w:rsidRDefault="00DF7770" w:rsidP="00AE05BE">
      <w:pPr>
        <w:pStyle w:val="SML11"/>
        <w:ind w:hanging="792"/>
      </w:pPr>
      <w:r w:rsidRPr="000C47A2">
        <w:t xml:space="preserve">Smluvní strany se zavazují, že </w:t>
      </w:r>
      <w:r w:rsidR="00772AAA" w:rsidRPr="000C47A2">
        <w:t xml:space="preserve">důvěrné </w:t>
      </w:r>
      <w:r w:rsidRPr="000C47A2">
        <w:t xml:space="preserve">informace získané od druhé </w:t>
      </w:r>
      <w:r w:rsidR="00772AAA" w:rsidRPr="000C47A2">
        <w:t>S</w:t>
      </w:r>
      <w:r w:rsidRPr="000C47A2">
        <w:t>mluvní strany nebo při spolupráci s ní nevyužijí k vlastní výdělečné činnosti a ani neumožní, aby je k</w:t>
      </w:r>
      <w:r w:rsidR="000C47A2">
        <w:t> </w:t>
      </w:r>
      <w:r w:rsidRPr="000C47A2">
        <w:t>výdělečné činnosti využila třetí osoba.</w:t>
      </w:r>
    </w:p>
    <w:p w14:paraId="0415A41A" w14:textId="7CB73367" w:rsidR="00DF7770" w:rsidRPr="00FB41AA" w:rsidRDefault="00444907" w:rsidP="00FB41AA">
      <w:pPr>
        <w:pStyle w:val="SML1"/>
      </w:pPr>
      <w:r>
        <w:t>Ukončení smlouvy</w:t>
      </w:r>
    </w:p>
    <w:p w14:paraId="57188D04" w14:textId="0F6874B5" w:rsidR="00FB41AA" w:rsidRDefault="00DF7770" w:rsidP="00AE05BE">
      <w:pPr>
        <w:pStyle w:val="SML11"/>
        <w:ind w:hanging="792"/>
      </w:pPr>
      <w:r w:rsidRPr="00FB41AA">
        <w:t>Smlouva může zaniknout</w:t>
      </w:r>
      <w:r w:rsidR="00B52E7B">
        <w:t xml:space="preserve"> následujícími způsoby</w:t>
      </w:r>
      <w:r w:rsidRPr="00FB41AA">
        <w:t>:</w:t>
      </w:r>
    </w:p>
    <w:p w14:paraId="7B99D711" w14:textId="26AE32FB" w:rsidR="00B52E7B" w:rsidRDefault="00B52E7B" w:rsidP="00AE05BE">
      <w:pPr>
        <w:pStyle w:val="SML111"/>
      </w:pPr>
      <w:r>
        <w:t>uplynutím doby jejího trvání,</w:t>
      </w:r>
    </w:p>
    <w:p w14:paraId="72D86DFD" w14:textId="1D7A846F" w:rsidR="00FB41AA" w:rsidRDefault="00DF7770" w:rsidP="00AE05BE">
      <w:pPr>
        <w:pStyle w:val="SML111"/>
      </w:pPr>
      <w:r w:rsidRPr="00FB41AA">
        <w:t xml:space="preserve">písemnou dohodou </w:t>
      </w:r>
      <w:r w:rsidR="00444907">
        <w:t>S</w:t>
      </w:r>
      <w:r w:rsidRPr="00FB41AA">
        <w:t>mluvních stran,</w:t>
      </w:r>
    </w:p>
    <w:p w14:paraId="27E98E33" w14:textId="00376A79" w:rsidR="008D7761" w:rsidRDefault="008D7761" w:rsidP="00AE05BE">
      <w:pPr>
        <w:pStyle w:val="SML111"/>
      </w:pPr>
      <w:r>
        <w:t xml:space="preserve">výpovědí učiněnou </w:t>
      </w:r>
      <w:r w:rsidR="00B52E7B">
        <w:t>jednou ze Smluvních stran</w:t>
      </w:r>
      <w:r>
        <w:t>,</w:t>
      </w:r>
    </w:p>
    <w:p w14:paraId="55DDE031" w14:textId="61DBBBAA" w:rsidR="00FB41AA" w:rsidRDefault="00DF7770" w:rsidP="00AE05BE">
      <w:pPr>
        <w:pStyle w:val="SML111"/>
      </w:pPr>
      <w:r w:rsidRPr="00FB41AA">
        <w:t xml:space="preserve">odstoupením od </w:t>
      </w:r>
      <w:r w:rsidR="006F6810">
        <w:t>S</w:t>
      </w:r>
      <w:r w:rsidRPr="00FB41AA">
        <w:t>mlouvy.</w:t>
      </w:r>
    </w:p>
    <w:p w14:paraId="759D8AC3" w14:textId="054575A1" w:rsidR="007C42E1" w:rsidRPr="00000060" w:rsidRDefault="00DF7770" w:rsidP="00000060">
      <w:pPr>
        <w:pStyle w:val="SML11"/>
        <w:ind w:left="851" w:hanging="792"/>
        <w:rPr>
          <w:rFonts w:asciiTheme="minorHAnsi" w:hAnsiTheme="minorHAnsi" w:cstheme="minorHAnsi"/>
          <w:szCs w:val="24"/>
        </w:rPr>
      </w:pPr>
      <w:r w:rsidRPr="00A147F4">
        <w:rPr>
          <w:rFonts w:asciiTheme="minorHAnsi" w:hAnsiTheme="minorHAnsi" w:cstheme="minorHAnsi"/>
          <w:szCs w:val="24"/>
        </w:rPr>
        <w:t xml:space="preserve">Objednatel má právo odstoupit od této </w:t>
      </w:r>
      <w:r w:rsidR="006F6810" w:rsidRPr="00A147F4">
        <w:rPr>
          <w:rFonts w:asciiTheme="minorHAnsi" w:hAnsiTheme="minorHAnsi" w:cstheme="minorHAnsi"/>
          <w:szCs w:val="24"/>
        </w:rPr>
        <w:t>S</w:t>
      </w:r>
      <w:r w:rsidRPr="00A147F4">
        <w:rPr>
          <w:rFonts w:asciiTheme="minorHAnsi" w:hAnsiTheme="minorHAnsi" w:cstheme="minorHAnsi"/>
          <w:szCs w:val="24"/>
        </w:rPr>
        <w:t>mlouvy</w:t>
      </w:r>
      <w:r w:rsidR="00444907" w:rsidRPr="00A147F4">
        <w:rPr>
          <w:rFonts w:asciiTheme="minorHAnsi" w:hAnsiTheme="minorHAnsi" w:cstheme="minorHAnsi"/>
          <w:szCs w:val="24"/>
        </w:rPr>
        <w:t xml:space="preserve"> v případě jakéhokoliv podstatného porušení Smlouvy Agenturou. Objednatel je oprávněn odstoupit od Smlouvy ohledně celého plnění i v případě, že Agentura již zčásti plnila.</w:t>
      </w:r>
      <w:r w:rsidR="007C42E1" w:rsidRPr="007C42E1">
        <w:rPr>
          <w:rFonts w:asciiTheme="minorHAnsi" w:hAnsiTheme="minorHAnsi" w:cstheme="minorHAnsi"/>
          <w:szCs w:val="24"/>
        </w:rPr>
        <w:t xml:space="preserve"> </w:t>
      </w:r>
      <w:r w:rsidR="007C42E1" w:rsidRPr="00000060">
        <w:rPr>
          <w:rFonts w:asciiTheme="minorHAnsi" w:hAnsiTheme="minorHAnsi"/>
        </w:rPr>
        <w:t xml:space="preserve">Objednatel je dále oprávněn odstoupit od této </w:t>
      </w:r>
      <w:r w:rsidR="007C42E1">
        <w:rPr>
          <w:rFonts w:asciiTheme="minorHAnsi" w:hAnsiTheme="minorHAnsi"/>
        </w:rPr>
        <w:t>Smlouvy</w:t>
      </w:r>
      <w:r w:rsidR="007C42E1" w:rsidRPr="00000060">
        <w:rPr>
          <w:rFonts w:asciiTheme="minorHAnsi" w:hAnsiTheme="minorHAnsi"/>
        </w:rPr>
        <w:t xml:space="preserve"> v dalších případech stanovených Občanským zákoníkem či jiným právním předpisem.</w:t>
      </w:r>
    </w:p>
    <w:p w14:paraId="1AEE11F1" w14:textId="77777777" w:rsidR="007C42E1" w:rsidRDefault="007C42E1" w:rsidP="00B52E7B">
      <w:pPr>
        <w:pStyle w:val="SML11"/>
        <w:ind w:left="851" w:hanging="851"/>
      </w:pPr>
      <w:r w:rsidRPr="007C42E1">
        <w:t xml:space="preserve">Objednatel je oprávněn Smlouvu vypovědět s výpovědní lhůtou dvou (2) měsíců, která počíná běžet od prvního dne měsíce následujícího po měsíci, kdy byla výpověď doručena druhé straně. Agentura je oprávněna Smlouvu vypovědět s výpovědní lhůtou tří (3) měsíců, která počíná běžet od prvního dne měsíce následujícího po měsíci, kdy byla výpověď doručena druhé straně. </w:t>
      </w:r>
    </w:p>
    <w:p w14:paraId="35A39A66" w14:textId="77777777" w:rsidR="007C42E1" w:rsidRDefault="007C42E1" w:rsidP="00B52E7B">
      <w:pPr>
        <w:pStyle w:val="SML11"/>
        <w:ind w:left="851" w:hanging="851"/>
      </w:pPr>
      <w:r>
        <w:lastRenderedPageBreak/>
        <w:t>Smluvní strany se dále dohodly, že v případě odstoupení od Smlouvy budou zejména ujednání o odpovědnosti za vady předmětu Smlouvy, odpovědnosti za škodu a nemajetkovou újmu, o sankcích a o autorských právech trvat i po zániku závazků ze Smlouvy.</w:t>
      </w:r>
    </w:p>
    <w:p w14:paraId="1167B136" w14:textId="31DD20E5" w:rsidR="008D7761" w:rsidRDefault="007C42E1" w:rsidP="00000060">
      <w:pPr>
        <w:pStyle w:val="SML11"/>
        <w:ind w:left="851" w:hanging="851"/>
      </w:pPr>
      <w:r w:rsidRPr="00000060">
        <w:rPr>
          <w:rFonts w:asciiTheme="minorHAnsi" w:hAnsiTheme="minorHAnsi"/>
          <w:bCs w:val="0"/>
        </w:rPr>
        <w:t xml:space="preserve">V případě odstoupení od </w:t>
      </w:r>
      <w:r>
        <w:rPr>
          <w:rFonts w:asciiTheme="minorHAnsi" w:hAnsiTheme="minorHAnsi"/>
        </w:rPr>
        <w:t>této Smlouvy</w:t>
      </w:r>
      <w:r w:rsidRPr="00000060">
        <w:rPr>
          <w:rFonts w:asciiTheme="minorHAnsi" w:hAnsiTheme="minorHAnsi"/>
          <w:bCs w:val="0"/>
        </w:rPr>
        <w:t xml:space="preserve"> či její výpovědi se Agentura zavazuje předat Objednateli veškerou dokumentaci, týkající se předmětu této </w:t>
      </w:r>
      <w:r>
        <w:rPr>
          <w:rFonts w:asciiTheme="minorHAnsi" w:hAnsiTheme="minorHAnsi"/>
        </w:rPr>
        <w:t>Smlouvy</w:t>
      </w:r>
      <w:r w:rsidRPr="00000060">
        <w:rPr>
          <w:rFonts w:asciiTheme="minorHAnsi" w:hAnsiTheme="minorHAnsi"/>
          <w:bCs w:val="0"/>
        </w:rPr>
        <w:t xml:space="preserve">, a to nejpozději do 10 pracovních dnů ode dne zániku </w:t>
      </w:r>
      <w:r>
        <w:rPr>
          <w:rFonts w:asciiTheme="minorHAnsi" w:hAnsiTheme="minorHAnsi"/>
        </w:rPr>
        <w:t>Smlouvy, nedohodnou-li se Smluvní strany jinak.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6CBD83A4" w:rsidR="00D460AC" w:rsidRDefault="00DF7770" w:rsidP="00AE05BE">
      <w:pPr>
        <w:pStyle w:val="SML11"/>
        <w:ind w:hanging="792"/>
      </w:pPr>
      <w:r w:rsidRPr="00DF7770">
        <w:t xml:space="preserve">Právní vztahy vzniklé z této </w:t>
      </w:r>
      <w:r w:rsidR="006F6810">
        <w:t>S</w:t>
      </w:r>
      <w:r w:rsidRPr="00DF7770">
        <w:t xml:space="preserve">mlouvy nebo s touto </w:t>
      </w:r>
      <w:r w:rsidR="006F6810">
        <w:t>S</w:t>
      </w:r>
      <w:r w:rsidRPr="00DF7770">
        <w:t xml:space="preserve">mlouvou související se řídí, pokud z této </w:t>
      </w:r>
      <w:r w:rsidR="006F6810">
        <w:t>S</w:t>
      </w:r>
      <w:r w:rsidRPr="00DF7770">
        <w:t xml:space="preserve">mlouvy nevyplývá něco jiného, ustanoveními </w:t>
      </w:r>
      <w:r w:rsidR="00CA5602">
        <w:t>Občanského zákoníku</w:t>
      </w:r>
      <w:r w:rsidRPr="00DF7770">
        <w:t xml:space="preserve"> a právním řádem České republiky. V případě, že by se stalo některé ustanovení </w:t>
      </w:r>
      <w:r w:rsidR="005376E0">
        <w:t>S</w:t>
      </w:r>
      <w:r w:rsidRPr="00DF7770"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 w:rsidRPr="00DF7770"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 w:rsidRPr="00D460AC">
        <w:t xml:space="preserve">Tuto </w:t>
      </w:r>
      <w:r w:rsidR="005376E0">
        <w:t>S</w:t>
      </w:r>
      <w:r w:rsidRPr="00D460AC">
        <w:t>mlouvu lze měnit, doplňovat nebo rušit pouze písemně, a to číslovanými dodatky, podepsanými oběma smluvními stranami.</w:t>
      </w:r>
    </w:p>
    <w:p w14:paraId="23D7FC3E" w14:textId="7A2BB461" w:rsidR="00D460AC" w:rsidRDefault="00DF7770" w:rsidP="00AE05BE">
      <w:pPr>
        <w:pStyle w:val="SML11"/>
        <w:ind w:hanging="792"/>
      </w:pPr>
      <w:r w:rsidRPr="00D460AC">
        <w:t xml:space="preserve">Smluvní strany se zároveň zavazují, že všechny informace, které jim byly svěřeny druhou </w:t>
      </w:r>
      <w:r w:rsidR="00663746">
        <w:t>S</w:t>
      </w:r>
      <w:r w:rsidRPr="00D460AC">
        <w:t xml:space="preserve">mluvní stranou, nezpřístupní třetím osobám pro jiné </w:t>
      </w:r>
      <w:proofErr w:type="gramStart"/>
      <w:r w:rsidRPr="00D460AC">
        <w:t>účely,</w:t>
      </w:r>
      <w:proofErr w:type="gramEnd"/>
      <w:r w:rsidRPr="00D460AC">
        <w:t xml:space="preserve"> než pro plnění závazků stanovených touto </w:t>
      </w:r>
      <w:r w:rsidR="00663746">
        <w:t>S</w:t>
      </w:r>
      <w:r w:rsidRPr="00D460AC">
        <w:t>mlouvou.</w:t>
      </w:r>
    </w:p>
    <w:p w14:paraId="44287592" w14:textId="0B43CE8E" w:rsidR="00D460AC" w:rsidRDefault="00DF7770" w:rsidP="00D460AC">
      <w:pPr>
        <w:pStyle w:val="SML11"/>
        <w:ind w:hanging="792"/>
      </w:pPr>
      <w:r w:rsidRPr="00D460AC">
        <w:t xml:space="preserve">Tato </w:t>
      </w:r>
      <w:r w:rsidR="005376E0">
        <w:t>S</w:t>
      </w:r>
      <w:r w:rsidRPr="00D460AC">
        <w:t xml:space="preserve">mlouva je vyhotovena ve dvou stejnopisech, z nichž každý stejnopis má platnost originálu. </w:t>
      </w:r>
      <w:r w:rsidR="00E11146">
        <w:t>Agentura</w:t>
      </w:r>
      <w:r w:rsidR="00E11146" w:rsidRPr="00D460AC">
        <w:t xml:space="preserve"> </w:t>
      </w:r>
      <w:r w:rsidRPr="00D460AC">
        <w:t xml:space="preserve">a </w:t>
      </w:r>
      <w:r w:rsidR="00CA5602">
        <w:t>O</w:t>
      </w:r>
      <w:r w:rsidRPr="00D460AC">
        <w:t xml:space="preserve">bjednatel obdrží po jednom vyhotovení.  </w:t>
      </w:r>
    </w:p>
    <w:p w14:paraId="19FA2A8F" w14:textId="4357DD80" w:rsidR="00774DF9" w:rsidRDefault="00DF7770" w:rsidP="00774DF9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 xml:space="preserve">povinnosti, vyplývající z této </w:t>
      </w:r>
      <w:r w:rsidR="005376E0">
        <w:t>S</w:t>
      </w:r>
      <w:r w:rsidRPr="00D460AC">
        <w:t xml:space="preserve">mlouvy, bez předchozího písemného souhlasu druhé </w:t>
      </w:r>
      <w:r w:rsidR="00663746">
        <w:t>S</w:t>
      </w:r>
      <w:r w:rsidRPr="00D460AC">
        <w:t>mluvní strany</w:t>
      </w:r>
      <w:r w:rsidR="005376E0">
        <w:t>, ledaže je ve Smlouvě stanoveno jinak</w:t>
      </w:r>
      <w:r w:rsidRPr="00D460AC">
        <w:t>. K přechodu práv a povinností na právní nástupce stran se souhlas nevyžaduje.</w:t>
      </w:r>
    </w:p>
    <w:p w14:paraId="4A4F760E" w14:textId="77777777" w:rsidR="00774DF9" w:rsidRDefault="00774DF9" w:rsidP="00774DF9">
      <w:pPr>
        <w:pStyle w:val="SML11"/>
        <w:ind w:hanging="792"/>
      </w:pPr>
      <w:r>
        <w:t>Smlouva nabývá účinnost dnem jejího uveřejnění v registru smluv ve smyslu zákona č. 340/2015 Sb., o zvláštních podmínkách účinnosti některých smluv, uveřejňování těchto smluv a o registru smluv (dále jen „</w:t>
      </w:r>
      <w:r w:rsidRPr="00CE2D6E">
        <w:rPr>
          <w:b/>
          <w:bCs w:val="0"/>
        </w:rPr>
        <w:t>zákon o registru smluv</w:t>
      </w:r>
      <w:r>
        <w:t>“), ve znění pozdějších předpisů.</w:t>
      </w:r>
    </w:p>
    <w:p w14:paraId="15F56762" w14:textId="19638536" w:rsidR="00D460AC" w:rsidRDefault="00DF7770" w:rsidP="00D460AC">
      <w:pPr>
        <w:pStyle w:val="SML11"/>
        <w:ind w:hanging="792"/>
      </w:pPr>
      <w:r w:rsidRPr="00D460AC">
        <w:t xml:space="preserve">Smluvní strany výslovně souhlasí s uveřejněním této </w:t>
      </w:r>
      <w:r w:rsidR="005376E0">
        <w:t>S</w:t>
      </w:r>
      <w:r w:rsidRPr="00D460AC">
        <w:t xml:space="preserve">mlouvy v registru smluv dle </w:t>
      </w:r>
      <w:r w:rsidR="005376E0">
        <w:t>z</w:t>
      </w:r>
      <w:r w:rsidR="00CA5602">
        <w:t>ákona o registru smluv</w:t>
      </w:r>
      <w:r w:rsidRPr="00D460AC">
        <w:t xml:space="preserve">. Objednatel zajistí zveřejnění </w:t>
      </w:r>
      <w:r w:rsidR="005376E0">
        <w:t>S</w:t>
      </w:r>
      <w:r w:rsidRPr="00D460AC"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 w:rsidRPr="00D460AC">
        <w:t xml:space="preserve">Plnění předmětu této </w:t>
      </w:r>
      <w:r w:rsidR="00663746">
        <w:t>S</w:t>
      </w:r>
      <w:r w:rsidRPr="00D460AC">
        <w:t xml:space="preserve">mlouvy v době mezi podpisem a před nabytím účinnosti této </w:t>
      </w:r>
      <w:r w:rsidR="005376E0">
        <w:t>S</w:t>
      </w:r>
      <w:r w:rsidRPr="00D460AC">
        <w:t xml:space="preserve">mlouvy, tedy před zveřejněním v registru smluv, se považuje za plnění podle této </w:t>
      </w:r>
      <w:r w:rsidR="005376E0">
        <w:t>S</w:t>
      </w:r>
      <w:r w:rsidRPr="00D460AC">
        <w:t xml:space="preserve">mlouvy a práva a povinnosti z něj vzniklé se řídí touto </w:t>
      </w:r>
      <w:r w:rsidR="005376E0">
        <w:t>S</w:t>
      </w:r>
      <w:r w:rsidRPr="00D460AC">
        <w:t>mlouvou.</w:t>
      </w:r>
    </w:p>
    <w:p w14:paraId="63326537" w14:textId="6A96FD49" w:rsidR="00D460AC" w:rsidRDefault="00DF7770" w:rsidP="00D460AC">
      <w:pPr>
        <w:pStyle w:val="SML11"/>
        <w:ind w:hanging="792"/>
      </w:pPr>
      <w:r w:rsidRPr="00D460AC">
        <w:t xml:space="preserve">Zhotovitel podpisem této </w:t>
      </w:r>
      <w:r w:rsidR="005376E0">
        <w:t>S</w:t>
      </w:r>
      <w:r w:rsidRPr="00D460AC">
        <w:t xml:space="preserve">mlouvy souhlasí s poskytnutím informací o </w:t>
      </w:r>
      <w:r w:rsidR="005376E0">
        <w:t>S</w:t>
      </w:r>
      <w:r w:rsidRPr="00D460AC">
        <w:t>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 w:rsidRPr="00D460AC">
        <w:t xml:space="preserve">Smluvní strany dále prohlašují, že si </w:t>
      </w:r>
      <w:r w:rsidR="005376E0">
        <w:t>S</w:t>
      </w:r>
      <w:r w:rsidRPr="00D460AC">
        <w:t xml:space="preserve">mlouvu, včetně jejích příloh pečlivě přečetly, všem ustanovením </w:t>
      </w:r>
      <w:r w:rsidR="005376E0">
        <w:t>S</w:t>
      </w:r>
      <w:r w:rsidRPr="00D460AC">
        <w:t xml:space="preserve">mlouvy rozumí, že nebyla uzavřena v tísni ani za jinak </w:t>
      </w:r>
      <w:r w:rsidRPr="00D460AC">
        <w:lastRenderedPageBreak/>
        <w:t>jednostranně nevýhodných podmínek. Na důkaz svého souhlasu učiněného vážně a</w:t>
      </w:r>
      <w:r w:rsidR="005C2175">
        <w:t> </w:t>
      </w:r>
      <w:r w:rsidRPr="00D460AC">
        <w:t xml:space="preserve">svobodně </w:t>
      </w:r>
      <w:r w:rsidR="005376E0">
        <w:t>S</w:t>
      </w:r>
      <w:r w:rsidRPr="00D460AC"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59BEE702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0C47A2">
        <w:t>Podrobná specifikace předmětu zakázky</w:t>
      </w:r>
    </w:p>
    <w:p w14:paraId="0BB13097" w14:textId="70B87289" w:rsidR="00A166A5" w:rsidRDefault="00A166A5" w:rsidP="00EB7C54">
      <w:pPr>
        <w:pStyle w:val="SML11"/>
        <w:numPr>
          <w:ilvl w:val="0"/>
          <w:numId w:val="0"/>
        </w:numPr>
      </w:pPr>
      <w:r>
        <w:t xml:space="preserve">- Příloha č. 2 – Položkový rozpočet </w:t>
      </w: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607"/>
      </w:tblGrid>
      <w:tr w:rsidR="00697B4D" w:rsidRPr="00466C1A" w14:paraId="57B61784" w14:textId="77777777" w:rsidTr="009113EB">
        <w:trPr>
          <w:trHeight w:val="635"/>
        </w:trPr>
        <w:tc>
          <w:tcPr>
            <w:tcW w:w="4536" w:type="dxa"/>
            <w:vAlign w:val="bottom"/>
          </w:tcPr>
          <w:p w14:paraId="671F9466" w14:textId="25614603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F24633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482F15">
              <w:rPr>
                <w:rFonts w:cstheme="minorHAnsi"/>
              </w:rPr>
              <w:t>14.9.2021</w:t>
            </w:r>
          </w:p>
        </w:tc>
        <w:tc>
          <w:tcPr>
            <w:tcW w:w="4678" w:type="dxa"/>
            <w:gridSpan w:val="2"/>
            <w:vAlign w:val="bottom"/>
          </w:tcPr>
          <w:p w14:paraId="418CF594" w14:textId="7C981BF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3D2E97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r w:rsidR="00482F15">
              <w:rPr>
                <w:rFonts w:cstheme="minorHAnsi"/>
              </w:rPr>
              <w:t>1.10.2021</w:t>
            </w:r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</w:tcPr>
          <w:p w14:paraId="2443D7E7" w14:textId="64625BC3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 w:rsidR="00B908A3">
              <w:rPr>
                <w:rStyle w:val="Styl3"/>
                <w:b w:val="0"/>
              </w:rPr>
              <w:t xml:space="preserve"> </w:t>
            </w:r>
            <w:proofErr w:type="spellStart"/>
            <w:r w:rsidR="00B908A3" w:rsidRPr="00B908A3">
              <w:rPr>
                <w:rStyle w:val="Styl3"/>
                <w:bCs/>
              </w:rPr>
              <w:t>Ogilvy</w:t>
            </w:r>
            <w:proofErr w:type="spellEnd"/>
            <w:r w:rsidR="00B908A3" w:rsidRPr="00B908A3">
              <w:rPr>
                <w:rStyle w:val="Styl3"/>
                <w:bCs/>
              </w:rPr>
              <w:t>, s.r.o.</w:t>
            </w:r>
            <w:r>
              <w:rPr>
                <w:rStyle w:val="Styl3"/>
              </w:rPr>
              <w:t xml:space="preserve"> </w:t>
            </w:r>
          </w:p>
          <w:p w14:paraId="03A86FA7" w14:textId="77777777" w:rsidR="006B43D5" w:rsidRDefault="00B908A3" w:rsidP="00DE273F">
            <w:pPr>
              <w:keepNext/>
              <w:keepLines/>
              <w:jc w:val="center"/>
              <w:rPr>
                <w:rStyle w:val="NormalBold"/>
                <w:b w:val="0"/>
                <w:bCs/>
              </w:rPr>
            </w:pPr>
            <w:r w:rsidRPr="00B908A3">
              <w:rPr>
                <w:rStyle w:val="NormalBold"/>
                <w:b w:val="0"/>
                <w:bCs/>
              </w:rPr>
              <w:t>Ondřej Obluk</w:t>
            </w:r>
            <w:r w:rsidR="00F24633" w:rsidRPr="00B908A3">
              <w:rPr>
                <w:rStyle w:val="NormalBold"/>
                <w:b w:val="0"/>
                <w:bCs/>
              </w:rPr>
              <w:t>, jednatel</w:t>
            </w:r>
          </w:p>
          <w:p w14:paraId="4D402E1E" w14:textId="7F266F3E" w:rsidR="00B908A3" w:rsidRPr="00B908A3" w:rsidRDefault="00B908A3" w:rsidP="00DE273F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B908A3">
              <w:rPr>
                <w:rStyle w:val="NormalBold"/>
                <w:b w:val="0"/>
              </w:rPr>
              <w:t>Roman Valla, jednatel</w:t>
            </w:r>
          </w:p>
        </w:tc>
      </w:tr>
    </w:tbl>
    <w:p w14:paraId="61E297AC" w14:textId="20C3FAE9" w:rsidR="006B43D5" w:rsidRDefault="006B43D5" w:rsidP="00DE273F"/>
    <w:p w14:paraId="197D9360" w14:textId="7C1F2DA3" w:rsidR="00055000" w:rsidRDefault="00055000"/>
    <w:sectPr w:rsidR="00055000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1595" w14:textId="77777777" w:rsidR="0091322B" w:rsidRDefault="0091322B" w:rsidP="008F7249">
      <w:pPr>
        <w:spacing w:after="0" w:line="240" w:lineRule="auto"/>
      </w:pPr>
      <w:r>
        <w:separator/>
      </w:r>
    </w:p>
  </w:endnote>
  <w:endnote w:type="continuationSeparator" w:id="0">
    <w:p w14:paraId="6A9B7881" w14:textId="77777777" w:rsidR="0091322B" w:rsidRDefault="0091322B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AE05BE" w:rsidRDefault="00AE05BE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ADA" w14:textId="77777777" w:rsidR="0091322B" w:rsidRDefault="0091322B" w:rsidP="008F7249">
      <w:pPr>
        <w:spacing w:after="0" w:line="240" w:lineRule="auto"/>
      </w:pPr>
      <w:r>
        <w:separator/>
      </w:r>
    </w:p>
  </w:footnote>
  <w:footnote w:type="continuationSeparator" w:id="0">
    <w:p w14:paraId="4462DC80" w14:textId="77777777" w:rsidR="0091322B" w:rsidRDefault="0091322B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A49"/>
    <w:multiLevelType w:val="hybridMultilevel"/>
    <w:tmpl w:val="CB96B548"/>
    <w:lvl w:ilvl="0" w:tplc="347A95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763"/>
    <w:multiLevelType w:val="multilevel"/>
    <w:tmpl w:val="DB0E4366"/>
    <w:numStyleLink w:val="Styl1"/>
  </w:abstractNum>
  <w:abstractNum w:abstractNumId="3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5D48"/>
    <w:multiLevelType w:val="multilevel"/>
    <w:tmpl w:val="5A9813EE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7A2078"/>
    <w:multiLevelType w:val="hybridMultilevel"/>
    <w:tmpl w:val="32C4F282"/>
    <w:lvl w:ilvl="0" w:tplc="6610FFB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10E9"/>
    <w:multiLevelType w:val="hybridMultilevel"/>
    <w:tmpl w:val="1B200792"/>
    <w:lvl w:ilvl="0" w:tplc="347A95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1570FE"/>
    <w:multiLevelType w:val="hybridMultilevel"/>
    <w:tmpl w:val="0338D1A6"/>
    <w:lvl w:ilvl="0" w:tplc="B0E84E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5939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7057587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185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336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2503">
    <w:abstractNumId w:val="18"/>
  </w:num>
  <w:num w:numId="6" w16cid:durableId="150559300">
    <w:abstractNumId w:val="9"/>
  </w:num>
  <w:num w:numId="7" w16cid:durableId="11686924">
    <w:abstractNumId w:val="6"/>
  </w:num>
  <w:num w:numId="8" w16cid:durableId="1802067155">
    <w:abstractNumId w:val="11"/>
  </w:num>
  <w:num w:numId="9" w16cid:durableId="1994680325">
    <w:abstractNumId w:val="17"/>
  </w:num>
  <w:num w:numId="10" w16cid:durableId="369887931">
    <w:abstractNumId w:val="10"/>
  </w:num>
  <w:num w:numId="11" w16cid:durableId="1227763445">
    <w:abstractNumId w:val="6"/>
  </w:num>
  <w:num w:numId="12" w16cid:durableId="2058581348">
    <w:abstractNumId w:val="6"/>
  </w:num>
  <w:num w:numId="13" w16cid:durableId="1065952672">
    <w:abstractNumId w:val="16"/>
  </w:num>
  <w:num w:numId="14" w16cid:durableId="150829610">
    <w:abstractNumId w:val="14"/>
  </w:num>
  <w:num w:numId="15" w16cid:durableId="1407343787">
    <w:abstractNumId w:val="1"/>
  </w:num>
  <w:num w:numId="16" w16cid:durableId="614796957">
    <w:abstractNumId w:val="5"/>
  </w:num>
  <w:num w:numId="17" w16cid:durableId="1757282997">
    <w:abstractNumId w:val="19"/>
  </w:num>
  <w:num w:numId="18" w16cid:durableId="292830957">
    <w:abstractNumId w:val="4"/>
  </w:num>
  <w:num w:numId="19" w16cid:durableId="514728133">
    <w:abstractNumId w:val="6"/>
  </w:num>
  <w:num w:numId="20" w16cid:durableId="844245176">
    <w:abstractNumId w:val="15"/>
  </w:num>
  <w:num w:numId="21" w16cid:durableId="706300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5602633">
    <w:abstractNumId w:val="13"/>
  </w:num>
  <w:num w:numId="23" w16cid:durableId="1422993709">
    <w:abstractNumId w:val="7"/>
  </w:num>
  <w:num w:numId="24" w16cid:durableId="1179006601">
    <w:abstractNumId w:val="8"/>
  </w:num>
  <w:num w:numId="25" w16cid:durableId="32756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0060"/>
    <w:rsid w:val="0000512A"/>
    <w:rsid w:val="00007DE4"/>
    <w:rsid w:val="000202F7"/>
    <w:rsid w:val="00031A09"/>
    <w:rsid w:val="00033C4A"/>
    <w:rsid w:val="000341BE"/>
    <w:rsid w:val="00034EB2"/>
    <w:rsid w:val="00040DDF"/>
    <w:rsid w:val="00047839"/>
    <w:rsid w:val="00050593"/>
    <w:rsid w:val="000533F1"/>
    <w:rsid w:val="00055000"/>
    <w:rsid w:val="00072FD0"/>
    <w:rsid w:val="000773AD"/>
    <w:rsid w:val="000A6F27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7574B"/>
    <w:rsid w:val="00180680"/>
    <w:rsid w:val="0018252B"/>
    <w:rsid w:val="00183644"/>
    <w:rsid w:val="001A28C1"/>
    <w:rsid w:val="001A6732"/>
    <w:rsid w:val="001E0754"/>
    <w:rsid w:val="001E3A52"/>
    <w:rsid w:val="001F3E11"/>
    <w:rsid w:val="001F603D"/>
    <w:rsid w:val="00201532"/>
    <w:rsid w:val="00203794"/>
    <w:rsid w:val="002038B1"/>
    <w:rsid w:val="0020483D"/>
    <w:rsid w:val="00215458"/>
    <w:rsid w:val="00216843"/>
    <w:rsid w:val="002214E9"/>
    <w:rsid w:val="002306EB"/>
    <w:rsid w:val="00233754"/>
    <w:rsid w:val="00236AF6"/>
    <w:rsid w:val="002400E7"/>
    <w:rsid w:val="002404BD"/>
    <w:rsid w:val="00240C41"/>
    <w:rsid w:val="0024417C"/>
    <w:rsid w:val="0025101B"/>
    <w:rsid w:val="00251FE0"/>
    <w:rsid w:val="00257887"/>
    <w:rsid w:val="0026210E"/>
    <w:rsid w:val="00265A34"/>
    <w:rsid w:val="00270EE5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2A56"/>
    <w:rsid w:val="002B31A2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1AC4"/>
    <w:rsid w:val="00334193"/>
    <w:rsid w:val="00352913"/>
    <w:rsid w:val="00352E14"/>
    <w:rsid w:val="00373C36"/>
    <w:rsid w:val="00373EAC"/>
    <w:rsid w:val="003869D0"/>
    <w:rsid w:val="00395392"/>
    <w:rsid w:val="003A2993"/>
    <w:rsid w:val="003A5364"/>
    <w:rsid w:val="003B40A4"/>
    <w:rsid w:val="003B6B88"/>
    <w:rsid w:val="003C07F1"/>
    <w:rsid w:val="003C3CD9"/>
    <w:rsid w:val="003C523D"/>
    <w:rsid w:val="003D103F"/>
    <w:rsid w:val="003D1F3E"/>
    <w:rsid w:val="003D2E97"/>
    <w:rsid w:val="003F1A57"/>
    <w:rsid w:val="003F5081"/>
    <w:rsid w:val="003F6DE1"/>
    <w:rsid w:val="00407E78"/>
    <w:rsid w:val="00431254"/>
    <w:rsid w:val="00431666"/>
    <w:rsid w:val="004327D9"/>
    <w:rsid w:val="00433E1F"/>
    <w:rsid w:val="00434D4E"/>
    <w:rsid w:val="00437506"/>
    <w:rsid w:val="00440E6D"/>
    <w:rsid w:val="0044314B"/>
    <w:rsid w:val="00444833"/>
    <w:rsid w:val="00444907"/>
    <w:rsid w:val="00455748"/>
    <w:rsid w:val="00462B22"/>
    <w:rsid w:val="00471889"/>
    <w:rsid w:val="00481C29"/>
    <w:rsid w:val="00482F15"/>
    <w:rsid w:val="00487419"/>
    <w:rsid w:val="004877E7"/>
    <w:rsid w:val="004925CD"/>
    <w:rsid w:val="00494CC2"/>
    <w:rsid w:val="004B2BEE"/>
    <w:rsid w:val="004C1557"/>
    <w:rsid w:val="004C2D88"/>
    <w:rsid w:val="004C65F1"/>
    <w:rsid w:val="004D0C0F"/>
    <w:rsid w:val="004D1006"/>
    <w:rsid w:val="004D221A"/>
    <w:rsid w:val="004D7C4F"/>
    <w:rsid w:val="004E5317"/>
    <w:rsid w:val="004F0ADA"/>
    <w:rsid w:val="00506630"/>
    <w:rsid w:val="00510930"/>
    <w:rsid w:val="00510D4A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567"/>
    <w:rsid w:val="00556DC6"/>
    <w:rsid w:val="00563712"/>
    <w:rsid w:val="0056396F"/>
    <w:rsid w:val="005650F5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62AF"/>
    <w:rsid w:val="005B2B00"/>
    <w:rsid w:val="005C2175"/>
    <w:rsid w:val="005E6368"/>
    <w:rsid w:val="005E6760"/>
    <w:rsid w:val="005F3463"/>
    <w:rsid w:val="005F3F80"/>
    <w:rsid w:val="006004F8"/>
    <w:rsid w:val="0060127F"/>
    <w:rsid w:val="006024A7"/>
    <w:rsid w:val="006149E8"/>
    <w:rsid w:val="006176AD"/>
    <w:rsid w:val="006176F7"/>
    <w:rsid w:val="006249FA"/>
    <w:rsid w:val="00626538"/>
    <w:rsid w:val="0064279C"/>
    <w:rsid w:val="00645355"/>
    <w:rsid w:val="00646BED"/>
    <w:rsid w:val="00647208"/>
    <w:rsid w:val="00657E22"/>
    <w:rsid w:val="00660FE4"/>
    <w:rsid w:val="00663746"/>
    <w:rsid w:val="00681E5C"/>
    <w:rsid w:val="006825A7"/>
    <w:rsid w:val="006826CD"/>
    <w:rsid w:val="00683386"/>
    <w:rsid w:val="00686E84"/>
    <w:rsid w:val="00697B4D"/>
    <w:rsid w:val="006B27F1"/>
    <w:rsid w:val="006B43D5"/>
    <w:rsid w:val="006B6C90"/>
    <w:rsid w:val="006B7144"/>
    <w:rsid w:val="006B7EA9"/>
    <w:rsid w:val="006C3B6A"/>
    <w:rsid w:val="006D01E1"/>
    <w:rsid w:val="006D135F"/>
    <w:rsid w:val="006D2F3B"/>
    <w:rsid w:val="006E50BD"/>
    <w:rsid w:val="006E5452"/>
    <w:rsid w:val="006F40B0"/>
    <w:rsid w:val="006F6810"/>
    <w:rsid w:val="00703331"/>
    <w:rsid w:val="0071657D"/>
    <w:rsid w:val="007166E2"/>
    <w:rsid w:val="007202EF"/>
    <w:rsid w:val="00724462"/>
    <w:rsid w:val="00726E22"/>
    <w:rsid w:val="007370CF"/>
    <w:rsid w:val="007374C8"/>
    <w:rsid w:val="00745AE7"/>
    <w:rsid w:val="0075131F"/>
    <w:rsid w:val="0075610A"/>
    <w:rsid w:val="007572DE"/>
    <w:rsid w:val="007602AB"/>
    <w:rsid w:val="00763706"/>
    <w:rsid w:val="00772AAA"/>
    <w:rsid w:val="00774DF9"/>
    <w:rsid w:val="007774DB"/>
    <w:rsid w:val="00780679"/>
    <w:rsid w:val="00786D28"/>
    <w:rsid w:val="00790324"/>
    <w:rsid w:val="00790D38"/>
    <w:rsid w:val="007939EE"/>
    <w:rsid w:val="0079637D"/>
    <w:rsid w:val="007A0C2D"/>
    <w:rsid w:val="007A1679"/>
    <w:rsid w:val="007A2AA2"/>
    <w:rsid w:val="007A7F8E"/>
    <w:rsid w:val="007B193A"/>
    <w:rsid w:val="007B651B"/>
    <w:rsid w:val="007B68F9"/>
    <w:rsid w:val="007C08A9"/>
    <w:rsid w:val="007C09D0"/>
    <w:rsid w:val="007C42E1"/>
    <w:rsid w:val="007D0A6C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47A98"/>
    <w:rsid w:val="00851AE6"/>
    <w:rsid w:val="008529BF"/>
    <w:rsid w:val="0085797F"/>
    <w:rsid w:val="00863762"/>
    <w:rsid w:val="0087344B"/>
    <w:rsid w:val="008773F3"/>
    <w:rsid w:val="00883593"/>
    <w:rsid w:val="008B03F3"/>
    <w:rsid w:val="008B1AE5"/>
    <w:rsid w:val="008B6148"/>
    <w:rsid w:val="008C0613"/>
    <w:rsid w:val="008C3E25"/>
    <w:rsid w:val="008D6232"/>
    <w:rsid w:val="008D7761"/>
    <w:rsid w:val="008E7E32"/>
    <w:rsid w:val="008F303E"/>
    <w:rsid w:val="008F5715"/>
    <w:rsid w:val="008F7249"/>
    <w:rsid w:val="009031AE"/>
    <w:rsid w:val="009113EB"/>
    <w:rsid w:val="0091322B"/>
    <w:rsid w:val="00914AFD"/>
    <w:rsid w:val="0092059B"/>
    <w:rsid w:val="00922233"/>
    <w:rsid w:val="00924F7B"/>
    <w:rsid w:val="009451F6"/>
    <w:rsid w:val="00951F43"/>
    <w:rsid w:val="0098451C"/>
    <w:rsid w:val="00985C77"/>
    <w:rsid w:val="00992805"/>
    <w:rsid w:val="009A1F4B"/>
    <w:rsid w:val="009A484D"/>
    <w:rsid w:val="009B1A28"/>
    <w:rsid w:val="009C09EC"/>
    <w:rsid w:val="009E0DC8"/>
    <w:rsid w:val="009E276C"/>
    <w:rsid w:val="009E3A35"/>
    <w:rsid w:val="009E484A"/>
    <w:rsid w:val="009E5561"/>
    <w:rsid w:val="009E68A1"/>
    <w:rsid w:val="00A02EF8"/>
    <w:rsid w:val="00A050DB"/>
    <w:rsid w:val="00A10D37"/>
    <w:rsid w:val="00A147F4"/>
    <w:rsid w:val="00A166A5"/>
    <w:rsid w:val="00A20747"/>
    <w:rsid w:val="00A26D1F"/>
    <w:rsid w:val="00A275D3"/>
    <w:rsid w:val="00A30F88"/>
    <w:rsid w:val="00A324FA"/>
    <w:rsid w:val="00A36653"/>
    <w:rsid w:val="00A43D6A"/>
    <w:rsid w:val="00A55835"/>
    <w:rsid w:val="00A71674"/>
    <w:rsid w:val="00A71E11"/>
    <w:rsid w:val="00A81661"/>
    <w:rsid w:val="00A847ED"/>
    <w:rsid w:val="00A85BFA"/>
    <w:rsid w:val="00A860E9"/>
    <w:rsid w:val="00A865B3"/>
    <w:rsid w:val="00A86AB4"/>
    <w:rsid w:val="00A91478"/>
    <w:rsid w:val="00A92831"/>
    <w:rsid w:val="00A94786"/>
    <w:rsid w:val="00AA0B29"/>
    <w:rsid w:val="00AB4C4C"/>
    <w:rsid w:val="00AC7FF3"/>
    <w:rsid w:val="00AD2DEC"/>
    <w:rsid w:val="00AE05BE"/>
    <w:rsid w:val="00AF33E9"/>
    <w:rsid w:val="00AF6FBE"/>
    <w:rsid w:val="00AF71A0"/>
    <w:rsid w:val="00B060B6"/>
    <w:rsid w:val="00B16E12"/>
    <w:rsid w:val="00B24757"/>
    <w:rsid w:val="00B311B6"/>
    <w:rsid w:val="00B325B5"/>
    <w:rsid w:val="00B4210A"/>
    <w:rsid w:val="00B42155"/>
    <w:rsid w:val="00B4394E"/>
    <w:rsid w:val="00B4588F"/>
    <w:rsid w:val="00B46B3E"/>
    <w:rsid w:val="00B52E7B"/>
    <w:rsid w:val="00B53CC5"/>
    <w:rsid w:val="00B6010E"/>
    <w:rsid w:val="00B62292"/>
    <w:rsid w:val="00B6636F"/>
    <w:rsid w:val="00B77C66"/>
    <w:rsid w:val="00B841C0"/>
    <w:rsid w:val="00B847FD"/>
    <w:rsid w:val="00B85A2F"/>
    <w:rsid w:val="00B908A3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4B7D"/>
    <w:rsid w:val="00C74C05"/>
    <w:rsid w:val="00C75BD2"/>
    <w:rsid w:val="00C76427"/>
    <w:rsid w:val="00C766A2"/>
    <w:rsid w:val="00C77AA3"/>
    <w:rsid w:val="00C80247"/>
    <w:rsid w:val="00C83299"/>
    <w:rsid w:val="00C85248"/>
    <w:rsid w:val="00C907E6"/>
    <w:rsid w:val="00CA0E40"/>
    <w:rsid w:val="00CA29DF"/>
    <w:rsid w:val="00CA367D"/>
    <w:rsid w:val="00CA5602"/>
    <w:rsid w:val="00CA5DFB"/>
    <w:rsid w:val="00CB3135"/>
    <w:rsid w:val="00CD21E6"/>
    <w:rsid w:val="00CD26B6"/>
    <w:rsid w:val="00CE0D6A"/>
    <w:rsid w:val="00CE2D6E"/>
    <w:rsid w:val="00CE46CE"/>
    <w:rsid w:val="00CF39DB"/>
    <w:rsid w:val="00CF3C0E"/>
    <w:rsid w:val="00D00218"/>
    <w:rsid w:val="00D159A1"/>
    <w:rsid w:val="00D16A21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91111"/>
    <w:rsid w:val="00D939DD"/>
    <w:rsid w:val="00D9476A"/>
    <w:rsid w:val="00DA700C"/>
    <w:rsid w:val="00DC0B33"/>
    <w:rsid w:val="00DD77A3"/>
    <w:rsid w:val="00DD7C8D"/>
    <w:rsid w:val="00DE18AE"/>
    <w:rsid w:val="00DE1C61"/>
    <w:rsid w:val="00DE273F"/>
    <w:rsid w:val="00DE5908"/>
    <w:rsid w:val="00DF7770"/>
    <w:rsid w:val="00E05D6D"/>
    <w:rsid w:val="00E11146"/>
    <w:rsid w:val="00E112BF"/>
    <w:rsid w:val="00E130FB"/>
    <w:rsid w:val="00E15438"/>
    <w:rsid w:val="00E21E43"/>
    <w:rsid w:val="00E32473"/>
    <w:rsid w:val="00E33FBF"/>
    <w:rsid w:val="00E35052"/>
    <w:rsid w:val="00E4310D"/>
    <w:rsid w:val="00E51B7A"/>
    <w:rsid w:val="00E54049"/>
    <w:rsid w:val="00E6059C"/>
    <w:rsid w:val="00E60C2A"/>
    <w:rsid w:val="00E74DF7"/>
    <w:rsid w:val="00E90877"/>
    <w:rsid w:val="00EA223E"/>
    <w:rsid w:val="00EA46C2"/>
    <w:rsid w:val="00EB4005"/>
    <w:rsid w:val="00EB7180"/>
    <w:rsid w:val="00EB77D0"/>
    <w:rsid w:val="00EB7C54"/>
    <w:rsid w:val="00EC16D4"/>
    <w:rsid w:val="00EC2788"/>
    <w:rsid w:val="00EC650F"/>
    <w:rsid w:val="00EE6D54"/>
    <w:rsid w:val="00EF0DA0"/>
    <w:rsid w:val="00EF7819"/>
    <w:rsid w:val="00F033D8"/>
    <w:rsid w:val="00F055FB"/>
    <w:rsid w:val="00F12798"/>
    <w:rsid w:val="00F154CE"/>
    <w:rsid w:val="00F16D9A"/>
    <w:rsid w:val="00F24633"/>
    <w:rsid w:val="00F31F7D"/>
    <w:rsid w:val="00F50A1E"/>
    <w:rsid w:val="00F57C41"/>
    <w:rsid w:val="00F67420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30C6"/>
    <w:rsid w:val="00FE5998"/>
    <w:rsid w:val="00FF1226"/>
    <w:rsid w:val="00FF3193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customStyle="1" w:styleId="2nesltext">
    <w:name w:val="2nečísl.text"/>
    <w:basedOn w:val="Normln"/>
    <w:qFormat/>
    <w:rsid w:val="00C74B7D"/>
    <w:pPr>
      <w:spacing w:before="240" w:after="240" w:line="240" w:lineRule="auto"/>
      <w:jc w:val="both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0533F1"/>
    <w:pPr>
      <w:spacing w:after="0" w:line="240" w:lineRule="auto"/>
    </w:pPr>
    <w:rPr>
      <w:sz w:val="24"/>
    </w:rPr>
  </w:style>
  <w:style w:type="paragraph" w:customStyle="1" w:styleId="Default">
    <w:name w:val="Default"/>
    <w:rsid w:val="00B53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2</TotalTime>
  <Pages>9</Pages>
  <Words>2843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Hana Stará</cp:lastModifiedBy>
  <cp:revision>3</cp:revision>
  <cp:lastPrinted>2021-05-31T10:10:00Z</cp:lastPrinted>
  <dcterms:created xsi:type="dcterms:W3CDTF">2022-11-24T12:15:00Z</dcterms:created>
  <dcterms:modified xsi:type="dcterms:W3CDTF">2022-11-24T12:17:00Z</dcterms:modified>
</cp:coreProperties>
</file>