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45" w:right="2955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1190400329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Příkazy</w:t>
      </w:r>
    </w:p>
    <w:p>
      <w:pPr>
        <w:pStyle w:val="BodyText"/>
        <w:tabs>
          <w:tab w:pos="2982" w:val="left" w:leader="none"/>
        </w:tabs>
        <w:spacing w:before="1"/>
        <w:ind w:left="102" w:right="2420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Příkazy,</w:t>
      </w:r>
      <w:r>
        <w:rPr>
          <w:spacing w:val="-1"/>
        </w:rPr>
        <w:t> </w:t>
      </w:r>
      <w:r>
        <w:rPr/>
        <w:t>Příkazy</w:t>
      </w:r>
      <w:r>
        <w:rPr>
          <w:spacing w:val="-3"/>
        </w:rPr>
        <w:t> </w:t>
      </w:r>
      <w:r>
        <w:rPr/>
        <w:t>125,</w:t>
      </w:r>
      <w:r>
        <w:rPr>
          <w:spacing w:val="-3"/>
        </w:rPr>
        <w:t> </w:t>
      </w:r>
      <w:r>
        <w:rPr/>
        <w:t>783</w:t>
      </w:r>
      <w:r>
        <w:rPr>
          <w:spacing w:val="-2"/>
        </w:rPr>
        <w:t> </w:t>
      </w:r>
      <w:r>
        <w:rPr/>
        <w:t>33</w:t>
      </w:r>
      <w:r>
        <w:rPr>
          <w:spacing w:val="-1"/>
        </w:rPr>
        <w:t> </w:t>
      </w:r>
      <w:r>
        <w:rPr/>
        <w:t>Příkazy</w:t>
      </w:r>
      <w:r>
        <w:rPr>
          <w:spacing w:val="-52"/>
        </w:rPr>
        <w:t> </w:t>
      </w:r>
      <w:r>
        <w:rPr/>
        <w:t>IČO:</w:t>
        <w:tab/>
        <w:t>00228711</w:t>
      </w:r>
    </w:p>
    <w:p>
      <w:pPr>
        <w:pStyle w:val="BodyText"/>
        <w:tabs>
          <w:tab w:pos="2982" w:val="left" w:leader="none"/>
        </w:tabs>
        <w:spacing w:before="1"/>
        <w:ind w:left="102" w:right="3409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Jaroslavem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1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1190400329</w:t>
      </w:r>
      <w:r>
        <w:rPr>
          <w:spacing w:val="30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5.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</w:t>
      </w:r>
      <w:r>
        <w:rPr/>
        <w:t>2022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5" w:after="0"/>
        <w:ind w:left="529" w:right="109" w:hanging="428"/>
        <w:jc w:val="both"/>
        <w:rPr>
          <w:sz w:val="20"/>
        </w:rPr>
      </w:pPr>
      <w:r>
        <w:rPr>
          <w:sz w:val="20"/>
        </w:rPr>
        <w:t>V článku IV bodu 1 písm. p) odrážce druhé se termín ukončení realizace akce prodlužuje do konce</w:t>
      </w:r>
      <w:r>
        <w:rPr>
          <w:spacing w:val="1"/>
          <w:sz w:val="20"/>
        </w:rPr>
        <w:t> </w:t>
      </w:r>
      <w:r>
        <w:rPr>
          <w:sz w:val="20"/>
        </w:rPr>
        <w:t>11/2023.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prodlužuje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 2/2024.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00" w:after="0"/>
        <w:ind w:left="529" w:right="114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73" w:val="left" w:leader="none"/>
        </w:tabs>
        <w:spacing w:before="186"/>
        <w:ind w:left="102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214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962" w:top="150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4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2022-11-28T06:31:39Z</dcterms:created>
  <dcterms:modified xsi:type="dcterms:W3CDTF">2022-11-28T06:31:39Z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