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bCs/>
          <w:color w:val="800000"/>
          <w:sz w:val="28"/>
          <w:szCs w:val="28"/>
          <w:u w:val="none" w:color="800000"/>
        </w:rPr>
      </w:pPr>
      <w:r>
        <w:rPr>
          <w:rFonts w:ascii="Arial" w:hAnsi="Arial"/>
          <w:b/>
          <w:bCs/>
          <w:color w:val="800000"/>
          <w:sz w:val="28"/>
          <w:szCs w:val="28"/>
          <w:u w:val="none" w:color="800000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Dohoda o předvedení pořadu / projektu</w:t>
      </w:r>
    </w:p>
    <w:p>
      <w:pPr>
        <w:pStyle w:val="Normal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80"/>
          <w:sz w:val="24"/>
          <w:szCs w:val="24"/>
          <w:u w:val="none" w:color="000080"/>
        </w:rPr>
      </w:pPr>
      <w:r>
        <w:rPr>
          <w:rFonts w:ascii="Arial" w:hAnsi="Arial"/>
          <w:b/>
          <w:bCs/>
          <w:color w:val="CF232B"/>
          <w:sz w:val="24"/>
          <w:szCs w:val="24"/>
          <w:u w:val="none" w:color="000080"/>
        </w:rPr>
        <w:t>Spolek pro zachování kulturního dědictví historie a romantiky</w:t>
      </w:r>
    </w:p>
    <w:p>
      <w:pPr>
        <w:pStyle w:val="Normal"/>
        <w:ind w:left="708" w:hanging="0"/>
        <w:rPr>
          <w:rFonts w:ascii="Arial" w:hAnsi="Arial" w:eastAsia="Arial" w:cs="Arial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614680</wp:posOffset>
            </wp:positionH>
            <wp:positionV relativeFrom="line">
              <wp:posOffset>84455</wp:posOffset>
            </wp:positionV>
            <wp:extent cx="1257300" cy="1152525"/>
            <wp:effectExtent l="0" t="0" r="0" b="0"/>
            <wp:wrapNone/>
            <wp:docPr id="1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ab/>
        <w:tab/>
        <w:tab/>
        <w:tab/>
      </w:r>
      <w:r>
        <w:rPr>
          <w:rFonts w:ascii="Arial" w:hAnsi="Arial"/>
          <w:sz w:val="24"/>
          <w:szCs w:val="24"/>
        </w:rPr>
        <w:t xml:space="preserve">Slezskoostravský hrad, ul. Hradní, 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ab/>
        <w:t xml:space="preserve">    </w:t>
        <w:tab/>
        <w:tab/>
        <w:tab/>
        <w:tab/>
        <w:t>710 00 Slezská Ostrava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   </w:t>
        <w:tab/>
        <w:tab/>
        <w:tab/>
        <w:tab/>
        <w:t>ičo: 27030261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   </w:t>
        <w:tab/>
        <w:tab/>
        <w:tab/>
        <w:tab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   </w:t>
        <w:tab/>
        <w:tab/>
        <w:tab/>
        <w:tab/>
        <w:t>číslo účtu :  210636728 / 0300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>( dále jen společnost )</w:t>
      </w:r>
    </w:p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Objednatel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000080"/>
          <w:sz w:val="28"/>
          <w:szCs w:val="28"/>
          <w:u w:val="none" w:color="000080"/>
        </w:rPr>
      </w:pPr>
      <w:r>
        <w:rPr>
          <w:rFonts w:ascii="Arial" w:hAnsi="Arial"/>
          <w:b/>
          <w:bCs/>
          <w:color w:val="000080"/>
          <w:sz w:val="28"/>
          <w:szCs w:val="28"/>
          <w:u w:val="none" w:color="000080"/>
        </w:rPr>
        <w:t>Dům kultury města Orlové, p. o.</w:t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Osvobození 797,</w:t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735 14 Orlová - Lutyně</w:t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IČ: 65890825, DIČ: CZ65890825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ab/>
        <w:tab/>
        <w:tab/>
        <w:tab/>
        <w:t xml:space="preserve">      (dále jen objednavatel )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color w:val="AE1916"/>
          <w:sz w:val="24"/>
          <w:szCs w:val="24"/>
          <w:u w:val="none" w:color="000080"/>
        </w:rPr>
      </w:pPr>
      <w:r>
        <w:rPr>
          <w:rFonts w:ascii="Arial" w:hAnsi="Arial"/>
          <w:b/>
          <w:bCs/>
          <w:color w:val="AE1916"/>
          <w:sz w:val="24"/>
          <w:szCs w:val="24"/>
          <w:u w:val="none" w:color="000080"/>
        </w:rPr>
        <w:t>Na základě této smlouvy se společnost zavazuje k předvedení pořadu :</w:t>
      </w:r>
    </w:p>
    <w:p>
      <w:pPr>
        <w:pStyle w:val="Normal"/>
        <w:jc w:val="center"/>
        <w:rPr>
          <w:rFonts w:ascii="Arial" w:hAnsi="Arial" w:eastAsia="Arial" w:cs="Arial"/>
          <w:color w:val="000080"/>
          <w:sz w:val="24"/>
          <w:szCs w:val="24"/>
          <w:u w:val="none" w:color="000080"/>
        </w:rPr>
      </w:pPr>
      <w:r>
        <w:rPr>
          <w:rFonts w:eastAsia="Arial" w:cs="Arial" w:ascii="Arial" w:hAnsi="Arial"/>
          <w:color w:val="000080"/>
          <w:sz w:val="24"/>
          <w:szCs w:val="24"/>
          <w:u w:val="none" w:color="000080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Datum :</w:t>
      </w:r>
      <w:r>
        <w:rPr>
          <w:rFonts w:ascii="Arial" w:hAnsi="Arial"/>
          <w:sz w:val="24"/>
          <w:szCs w:val="24"/>
        </w:rPr>
        <w:t xml:space="preserve"> 18.12. 2022 od. 14 do 18 hod, příjezd instalace 12 hod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Program :</w:t>
      </w:r>
      <w:r>
        <w:rPr>
          <w:rFonts w:ascii="Arial" w:hAnsi="Arial"/>
          <w:sz w:val="24"/>
          <w:szCs w:val="24"/>
        </w:rPr>
        <w:t xml:space="preserve">    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3 stylov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dřevěn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stánky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Odl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vání olova .... návštěvníci si mohou vyzkouš</w:t>
      </w:r>
      <w:r>
        <w:rPr>
          <w:rFonts w:ascii="Arial" w:hAnsi="Arial"/>
          <w:lang w:val="da-DK"/>
        </w:rPr>
        <w:t>et star</w:t>
      </w:r>
      <w:r>
        <w:rPr>
          <w:rFonts w:ascii="Arial" w:hAnsi="Arial"/>
        </w:rPr>
        <w:t>ý vánoční zvyk a tradici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Pečen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kačtany ... na mal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pí</w:t>
      </w:r>
      <w:r>
        <w:rPr>
          <w:rFonts w:ascii="Arial" w:hAnsi="Arial"/>
          <w:lang w:val="it-IT"/>
        </w:rPr>
        <w:t>cce pe</w:t>
      </w:r>
      <w:r>
        <w:rPr>
          <w:rFonts w:ascii="Arial" w:hAnsi="Arial"/>
        </w:rPr>
        <w:t>čen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kaštany,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se budou návštěvníkům pro radost rozdávat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Poznej zvířátka ... interaktivní zábava pro mal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i velk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... kožíšky a stopy domácích i lesních zvířátek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Vánoční zvěřinec ... ohrádky a plůtky, ovečky a kozy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 xml:space="preserve">Zpívání </w:t>
      </w:r>
      <w:r>
        <w:rPr>
          <w:rFonts w:ascii="Arial" w:hAnsi="Arial"/>
          <w:lang w:val="it-IT"/>
        </w:rPr>
        <w:t>o v</w:t>
      </w:r>
      <w:r>
        <w:rPr>
          <w:rFonts w:ascii="Arial" w:hAnsi="Arial"/>
        </w:rPr>
        <w:t>á</w:t>
      </w:r>
      <w:r>
        <w:rPr>
          <w:rFonts w:ascii="Arial" w:hAnsi="Arial"/>
          <w:lang w:val="de-DE"/>
        </w:rPr>
        <w:t>noc</w:t>
      </w:r>
      <w:r>
        <w:rPr>
          <w:rFonts w:ascii="Arial" w:hAnsi="Arial"/>
        </w:rPr>
        <w:t>ích ... 2 x vstup vánočního tria ... znám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vánoční koledy a písně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Koš s otevřený</w:t>
      </w:r>
      <w:r>
        <w:rPr>
          <w:rFonts w:ascii="Arial" w:hAnsi="Arial"/>
          <w:lang w:val="de-DE"/>
        </w:rPr>
        <w:t>m ohn</w:t>
      </w:r>
      <w:r>
        <w:rPr>
          <w:rFonts w:ascii="Arial" w:hAnsi="Arial"/>
        </w:rPr>
        <w:t>ěm ... pro vů</w:t>
      </w:r>
      <w:r>
        <w:rPr>
          <w:rFonts w:ascii="Arial" w:hAnsi="Arial"/>
          <w:lang w:val="da-DK"/>
        </w:rPr>
        <w:t>ni, atmosf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ru i ohřátí</w:t>
      </w:r>
    </w:p>
    <w:p>
      <w:pPr>
        <w:pStyle w:val="Vchoz"/>
        <w:numPr>
          <w:ilvl w:val="0"/>
          <w:numId w:val="1"/>
        </w:numPr>
        <w:rPr/>
      </w:pPr>
      <w:r>
        <w:rPr>
          <w:rFonts w:ascii="Arial" w:hAnsi="Arial"/>
        </w:rPr>
        <w:t>Mal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nazvučení a nasvícení</w:t>
      </w:r>
    </w:p>
    <w:p>
      <w:pPr>
        <w:pStyle w:val="Normal"/>
        <w:rPr>
          <w:rFonts w:ascii="Arial" w:hAnsi="Arial" w:eastAsia="Arial" w:cs="Arial"/>
          <w:color w:val="000080"/>
          <w:sz w:val="24"/>
          <w:szCs w:val="24"/>
          <w:u w:val="none" w:color="000080"/>
        </w:rPr>
      </w:pPr>
      <w:r>
        <w:rPr>
          <w:rFonts w:ascii="Arial" w:hAnsi="Arial"/>
          <w:b/>
          <w:bCs/>
          <w:sz w:val="24"/>
          <w:szCs w:val="24"/>
        </w:rPr>
        <w:t xml:space="preserve">Úhrada programu je stanovena ve výši :         </w:t>
      </w:r>
      <w:r>
        <w:rPr>
          <w:rFonts w:ascii="Arial" w:hAnsi="Arial"/>
          <w:sz w:val="24"/>
          <w:szCs w:val="24"/>
        </w:rPr>
        <w:t xml:space="preserve">  55.000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Kč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ascii="Arial" w:hAnsi="Arial"/>
          <w:b/>
          <w:bCs/>
          <w:sz w:val="24"/>
          <w:szCs w:val="24"/>
        </w:rPr>
        <w:t>Datum a forma úhrady :</w:t>
      </w:r>
      <w:r>
        <w:rPr>
          <w:rFonts w:ascii="Arial" w:hAnsi="Arial"/>
          <w:sz w:val="24"/>
          <w:szCs w:val="24"/>
        </w:rPr>
        <w:t xml:space="preserve">  bankovním převodem do 30 dnů po akci.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adpis3"/>
        <w:keepNext w:val="true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 závazné smluvní podmínky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Spolek se zavazuje dostavit na místo produkce včas , sjednaný projekt odvést na odpovídající úrovni a ve stanoveném rozsahu s přihlédnutím k veškerým ujednáním této smlouvy .</w:t>
      </w:r>
    </w:p>
    <w:p>
      <w:pPr>
        <w:pStyle w:val="NormalWeb"/>
        <w:spacing w:before="0"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Neuskuteční-li se sjednaný projekt vinou společnost , je tato povinována nahradit objednavateli prokázané náklady. Toto neplatí v případě přírodní katastrofy , havárie, apod . Společnost je povinována takovýto důvod řádně doložit 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Spolek neodpovídá za případné úrazy a hmotné ztráty objednatele , pomocného personálu pořadatele a diváků . Objednatel je povinen zajistit pořadatelskou službu .</w:t>
      </w:r>
    </w:p>
    <w:p>
      <w:pPr>
        <w:pStyle w:val="BodyText2"/>
        <w:spacing w:lineRule="auto" w:line="216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Objednavatel je povinen zajistit , aby pracoviště pro sjednaný projekt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bylo po bezpečnostní , technické a hygienické stránce odpovídajícím způsobem připraveno Nedodržení technických podmínek , uvedených ve smlouvě , může být důvodem nekonání , přičemž objednavatel hradí veškeré náklady . 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Po uskutečnění předmětu smlouvy zaplatí pořadatel domluvenou částku. Na pozdější námitky nebude brán zřetel . Penále z prodlení platby 0,5 % za každý započatý den.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Odřekne-li objednavatel produkci, uhradí celou smluvní částku.</w:t>
      </w:r>
    </w:p>
    <w:p>
      <w:pPr>
        <w:pStyle w:val="BodyText2"/>
        <w:ind w:firstLine="60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Bude-li uskutečnění projektu znemožněno v důsledku událostí ležících mimo smluvní strany , mají tyto právo odstoupit od smlouvy bez jakýchkoliv nároků na finanční úhradu škody .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Nepříznivé počasí , nebo malý zájem o akci nejsou důvodem ke zrušení smlouvy. 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Spolek má právo nahradit člena, či soubor jiným umělcem , nejedná-li se o hlavního protagonistu .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Spolek má právo disponovat autorskými práva vztahující se k dané akci, disponovat s fotografickým a filmovým materiálem pořízeným z projektu.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Platnost smlouvy začíná podpisem obou smluvních stran . Změny či dodatky do smlouvy jsou možné pouze po oboustranném dohovoru mezi oběma stranami . </w:t>
      </w:r>
    </w:p>
    <w:p>
      <w:pPr>
        <w:pStyle w:val="BodyText2"/>
        <w:jc w:val="both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</w:r>
    </w:p>
    <w:p>
      <w:pPr>
        <w:pStyle w:val="BodyText2"/>
        <w:numPr>
          <w:ilvl w:val="0"/>
          <w:numId w:val="2"/>
        </w:numPr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Tato smlouva je uzavřena na základě autorského zákona č. 121/2000 Sb.</w:t>
      </w:r>
    </w:p>
    <w:p>
      <w:pPr>
        <w:pStyle w:val="Normal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 w:color="000000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 závěrečná ujednání</w:t>
      </w:r>
    </w:p>
    <w:p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before="0" w:after="20"/>
        <w:ind w:left="720" w:right="4" w:hanging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Smlouvu lze měnit či doplňovat výhradně dodatky podepsanými osobami pověřených k jednání ve věcech smlouvy</w:t>
      </w:r>
    </w:p>
    <w:p>
      <w:pPr>
        <w:pStyle w:val="Normal"/>
        <w:tabs>
          <w:tab w:val="clear" w:pos="708"/>
          <w:tab w:val="left" w:pos="720" w:leader="none"/>
        </w:tabs>
        <w:spacing w:before="0" w:after="20"/>
        <w:ind w:right="4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before="0" w:after="20"/>
        <w:ind w:left="720" w:right="4" w:hanging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je vyhotovena ve dvou  originálech.</w:t>
      </w:r>
    </w:p>
    <w:p>
      <w:pPr>
        <w:pStyle w:val="Normal"/>
        <w:tabs>
          <w:tab w:val="clear" w:pos="708"/>
          <w:tab w:val="left" w:pos="720" w:leader="none"/>
        </w:tabs>
        <w:spacing w:before="0" w:after="20"/>
        <w:ind w:right="4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ind w:left="720" w:right="4" w:hanging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Pokud ve smlouvě není uvedeno jinak, řídí se smluvní práva a povinnosti, závazky a právní poměry ze smlouvy vyplývající, vznikající a související s Občanským zákoníkem v platném znění.</w:t>
      </w:r>
    </w:p>
    <w:p>
      <w:pPr>
        <w:pStyle w:val="Normal"/>
        <w:tabs>
          <w:tab w:val="clear" w:pos="708"/>
          <w:tab w:val="left" w:pos="720" w:leader="none"/>
        </w:tabs>
        <w:spacing w:lineRule="auto" w:line="72"/>
        <w:ind w:right="4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before="80" w:after="20"/>
        <w:ind w:right="4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ind w:right="4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BodyText2"/>
        <w:ind w:left="708" w:right="4" w:hanging="0"/>
        <w:jc w:val="left"/>
        <w:rPr>
          <w:rFonts w:ascii="Arial" w:hAnsi="Arial" w:eastAsia="Arial" w:cs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Na důkaz pravdivosti toho, co je shora uvedeno a na důkaz pravé a svobodné vůle připojují obě zúčastněné strany své podpisy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left="4956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Smlouva byla uzavřena dne 2.12.22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Ing. Marek Tichý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 xml:space="preserve">ředitel spolku             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                                                  </w:t>
        <w:tab/>
        <w:tab/>
        <w:tab/>
        <w:t>Objednavatel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azpa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8640"/>
        </w:tabs>
        <w:ind w:lef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bullet"/>
      <w:lvlText w:val=""/>
      <w:lvlJc w:val="left"/>
      <w:pPr>
        <w:tabs>
          <w:tab w:val="num" w:pos="8640"/>
        </w:tabs>
        <w:ind w:left="10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bullet"/>
      <w:lvlText w:val=""/>
      <w:lvlJc w:val="left"/>
      <w:pPr>
        <w:tabs>
          <w:tab w:val="num" w:pos="8640"/>
        </w:tabs>
        <w:ind w:left="18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bullet"/>
      <w:lvlText w:val=""/>
      <w:lvlJc w:val="left"/>
      <w:pPr>
        <w:tabs>
          <w:tab w:val="num" w:pos="8640"/>
        </w:tabs>
        <w:ind w:left="25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bullet"/>
      <w:lvlText w:val=""/>
      <w:lvlJc w:val="left"/>
      <w:pPr>
        <w:tabs>
          <w:tab w:val="num" w:pos="8640"/>
        </w:tabs>
        <w:ind w:left="32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bullet"/>
      <w:lvlText w:val=""/>
      <w:lvlJc w:val="left"/>
      <w:pPr>
        <w:tabs>
          <w:tab w:val="num" w:pos="8640"/>
        </w:tabs>
        <w:ind w:left="39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46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bullet"/>
      <w:lvlText w:val=""/>
      <w:lvlJc w:val="left"/>
      <w:pPr>
        <w:tabs>
          <w:tab w:val="num" w:pos="8640"/>
        </w:tabs>
        <w:ind w:left="540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bullet"/>
      <w:lvlText w:val=""/>
      <w:lvlJc w:val="left"/>
      <w:pPr>
        <w:tabs>
          <w:tab w:val="num" w:pos="8640"/>
        </w:tabs>
        <w:ind w:left="61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644"/>
        </w:tabs>
        <w:ind w:left="2160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644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644"/>
        </w:tabs>
        <w:ind w:left="4320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644"/>
        </w:tabs>
        <w:ind w:left="6480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5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584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2088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592" w:hanging="10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3096" w:hanging="10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600" w:hanging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4104" w:hanging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680" w:hanging="18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4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Arial Unicode MS" w:cs="Arial Unicode MS"/>
      <w:color w:val="000000"/>
      <w:kern w:val="0"/>
      <w:sz w:val="20"/>
      <w:szCs w:val="20"/>
      <w:u w:val="none" w:color="000000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rPr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4c0044"/>
    <w:rPr>
      <w:rFonts w:ascii="Tahoma" w:hAnsi="Tahoma" w:cs="Tahoma"/>
      <w:color w:val="000000"/>
      <w:sz w:val="16"/>
      <w:szCs w:val="16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Slovndk">
    <w:name w:val="Line Number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 w:customStyle="1">
    <w:name w:val="Záhlaví a zápatí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Vchoz" w:customStyle="1">
    <w:name w:val="Výchozí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28"/>
      <w:szCs w:val="28"/>
      <w:u w:val="none" w:color="000000"/>
      <w:lang w:val="cs-CZ" w:eastAsia="cs-CZ" w:bidi="ar-SA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c0044"/>
    <w:pPr/>
    <w:rPr>
      <w:rFonts w:ascii="Tahoma" w:hAnsi="Tahoma" w:cs="Tahoma"/>
      <w:sz w:val="16"/>
      <w:szCs w:val="16"/>
    </w:rPr>
  </w:style>
  <w:style w:type="paragraph" w:styleId="Zhlavazpat1">
    <w:name w:val="Záhlaví a zápatí"/>
    <w:basedOn w:val="Normal"/>
    <w:qFormat/>
    <w:pPr/>
    <w:rPr/>
  </w:style>
  <w:style w:type="paragraph" w:styleId="Zhlav">
    <w:name w:val="Header"/>
    <w:basedOn w:val="Zhlavazpat1"/>
    <w:pPr/>
    <w:rPr/>
  </w:style>
  <w:style w:type="paragraph" w:styleId="Zpat">
    <w:name w:val="Footer"/>
    <w:basedOn w:val="Zhlavazpat1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Importovanstyl1" w:customStyle="1">
    <w:name w:val="Importovaný styl 1"/>
    <w:qFormat/>
  </w:style>
  <w:style w:type="numbering" w:styleId="Importovanstyl2" w:customStyle="1">
    <w:name w:val="Importovaný styl 2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LibreOffice/7.4.2.3$Windows_X86_64 LibreOffice_project/382eef1f22670f7f4118c8c2dd222ec7ad009daf</Application>
  <AppVersion>15.0000</AppVersion>
  <Pages>2</Pages>
  <Words>565</Words>
  <Characters>3030</Characters>
  <CharactersWithSpaces>3694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2022-12-14T11:35:00Z</dcterms:created>
  <dc:creator/>
  <dc:description/>
  <dc:language>cs-CZ</dc:language>
  <cp:lastModifiedBy/>
  <dcterms:modified xsi:type="dcterms:W3CDTF">2022-12-14T13:28:58Z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