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6335E0">
        <w:rPr>
          <w:rFonts w:ascii="Arial" w:hAnsi="Arial" w:cs="Arial"/>
          <w:b/>
          <w:sz w:val="36"/>
          <w:szCs w:val="36"/>
        </w:rPr>
        <w:t>3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166391">
        <w:rPr>
          <w:rFonts w:ascii="Arial" w:hAnsi="Arial" w:cs="Arial"/>
          <w:b/>
          <w:sz w:val="22"/>
          <w:szCs w:val="22"/>
        </w:rPr>
        <w:t>15</w:t>
      </w:r>
      <w:r w:rsidR="00EF7FFD">
        <w:rPr>
          <w:rFonts w:ascii="Arial" w:hAnsi="Arial" w:cs="Arial"/>
          <w:b/>
          <w:sz w:val="22"/>
          <w:szCs w:val="22"/>
        </w:rPr>
        <w:t>2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48BD" w:rsidRPr="00166391" w:rsidRDefault="00166391" w:rsidP="0016639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6391">
        <w:rPr>
          <w:rFonts w:ascii="Arial" w:hAnsi="Arial" w:cs="Arial"/>
          <w:b/>
          <w:sz w:val="22"/>
          <w:szCs w:val="22"/>
          <w:lang w:val="cs-CZ"/>
        </w:rPr>
        <w:t>„VT Rolava dolní Rybáře - opevnění břehů“ – projektová dokumentace (DSP)</w:t>
      </w:r>
    </w:p>
    <w:p w:rsidR="00AA2261" w:rsidRDefault="00AA226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1F3F85" w:rsidRPr="00E3123B" w:rsidRDefault="001F3F85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1F3F85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27BBE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>Zhotovitel: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  <w:r w:rsidRPr="00166391">
        <w:rPr>
          <w:rFonts w:ascii="Arial" w:hAnsi="Arial" w:cs="Arial"/>
          <w:b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sídlo: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6391">
        <w:rPr>
          <w:rFonts w:ascii="Arial" w:hAnsi="Arial" w:cs="Arial"/>
          <w:color w:val="000000"/>
          <w:sz w:val="22"/>
          <w:szCs w:val="22"/>
        </w:rPr>
        <w:t>Nábřežní 90/4, 150 56 Praha 5</w:t>
      </w:r>
      <w:r w:rsidRPr="00166391">
        <w:rPr>
          <w:rFonts w:ascii="Arial" w:hAnsi="Arial" w:cs="Arial"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IČO:</w:t>
      </w:r>
      <w:r w:rsidRPr="00166391">
        <w:rPr>
          <w:rFonts w:ascii="Arial" w:hAnsi="Arial" w:cs="Arial"/>
          <w:sz w:val="22"/>
          <w:szCs w:val="22"/>
        </w:rPr>
        <w:tab/>
        <w:t>471 16 901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DIČ:</w:t>
      </w:r>
      <w:r w:rsidRPr="00166391">
        <w:rPr>
          <w:rFonts w:ascii="Arial" w:hAnsi="Arial" w:cs="Arial"/>
          <w:sz w:val="22"/>
          <w:szCs w:val="22"/>
        </w:rPr>
        <w:tab/>
        <w:t>CZ47116901</w:t>
      </w:r>
      <w:r w:rsidRPr="00166391">
        <w:rPr>
          <w:rFonts w:ascii="Arial" w:hAnsi="Arial" w:cs="Arial"/>
          <w:color w:val="000000"/>
          <w:sz w:val="22"/>
          <w:szCs w:val="22"/>
        </w:rPr>
        <w:tab/>
      </w:r>
      <w:r w:rsidRPr="0016639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zástupce ve věcech smluvních: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FF0000"/>
          <w:sz w:val="22"/>
          <w:u w:val="single"/>
        </w:rPr>
      </w:pPr>
      <w:r w:rsidRPr="00166391">
        <w:rPr>
          <w:rFonts w:ascii="Arial" w:hAnsi="Arial" w:cs="Arial"/>
          <w:sz w:val="22"/>
          <w:szCs w:val="22"/>
        </w:rPr>
        <w:t>zástupce ve věcech technických:</w:t>
      </w: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bCs/>
          <w:sz w:val="22"/>
          <w:szCs w:val="22"/>
        </w:rPr>
        <w:tab/>
      </w:r>
    </w:p>
    <w:p w:rsidR="00166391" w:rsidRPr="00166391" w:rsidRDefault="00166391" w:rsidP="00A27BB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bankovní spojení: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číslo účtu: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 obchodním rejstříku: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 živnostenském rejstříku vedeném Úřadem městské části Praha 5</w:t>
      </w:r>
    </w:p>
    <w:p w:rsidR="00166391" w:rsidRPr="00166391" w:rsidRDefault="00166391" w:rsidP="00166391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6391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166391" w:rsidRPr="00166391" w:rsidRDefault="00166391" w:rsidP="001663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B5017" w:rsidRDefault="008B5017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B5017" w:rsidRDefault="008B5017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0775F" w:rsidRDefault="00B707E2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26C7">
        <w:rPr>
          <w:rFonts w:ascii="Arial" w:hAnsi="Arial" w:cs="Arial"/>
          <w:sz w:val="22"/>
          <w:szCs w:val="22"/>
        </w:rPr>
        <w:t xml:space="preserve">chybějícího </w:t>
      </w:r>
      <w:r w:rsidR="002D3430">
        <w:rPr>
          <w:rFonts w:ascii="Arial" w:hAnsi="Arial" w:cs="Arial"/>
          <w:sz w:val="22"/>
          <w:szCs w:val="22"/>
        </w:rPr>
        <w:t>závazné</w:t>
      </w:r>
      <w:r w:rsidR="00814348">
        <w:rPr>
          <w:rFonts w:ascii="Arial" w:hAnsi="Arial" w:cs="Arial"/>
          <w:sz w:val="22"/>
          <w:szCs w:val="22"/>
        </w:rPr>
        <w:t>ho</w:t>
      </w:r>
      <w:r w:rsidR="002D3430">
        <w:rPr>
          <w:rFonts w:ascii="Arial" w:hAnsi="Arial" w:cs="Arial"/>
          <w:sz w:val="22"/>
          <w:szCs w:val="22"/>
        </w:rPr>
        <w:t xml:space="preserve"> stanovisk</w:t>
      </w:r>
      <w:r w:rsidR="0003010E">
        <w:rPr>
          <w:rFonts w:ascii="Arial" w:hAnsi="Arial" w:cs="Arial"/>
          <w:sz w:val="22"/>
          <w:szCs w:val="22"/>
        </w:rPr>
        <w:t>a</w:t>
      </w:r>
      <w:r w:rsidR="002D3430">
        <w:rPr>
          <w:rFonts w:ascii="Arial" w:hAnsi="Arial" w:cs="Arial"/>
          <w:sz w:val="22"/>
          <w:szCs w:val="22"/>
        </w:rPr>
        <w:t xml:space="preserve"> or</w:t>
      </w:r>
      <w:r w:rsidR="00814348">
        <w:rPr>
          <w:rFonts w:ascii="Arial" w:hAnsi="Arial" w:cs="Arial"/>
          <w:sz w:val="22"/>
          <w:szCs w:val="22"/>
        </w:rPr>
        <w:t>gánu ochrany přírody k zásahu do významného krajinného prvku (VKP). Odbor životního prostředí M</w:t>
      </w:r>
      <w:r w:rsidR="0025356B">
        <w:rPr>
          <w:rFonts w:ascii="Arial" w:hAnsi="Arial" w:cs="Arial"/>
          <w:sz w:val="22"/>
          <w:szCs w:val="22"/>
        </w:rPr>
        <w:t>agistrátu města</w:t>
      </w:r>
      <w:r w:rsidR="00814348">
        <w:rPr>
          <w:rFonts w:ascii="Arial" w:hAnsi="Arial" w:cs="Arial"/>
          <w:sz w:val="22"/>
          <w:szCs w:val="22"/>
        </w:rPr>
        <w:t xml:space="preserve"> Karlovy Vary</w:t>
      </w:r>
      <w:r w:rsidR="0003010E">
        <w:rPr>
          <w:rFonts w:ascii="Arial" w:hAnsi="Arial" w:cs="Arial"/>
          <w:sz w:val="22"/>
          <w:szCs w:val="22"/>
        </w:rPr>
        <w:t xml:space="preserve"> </w:t>
      </w:r>
      <w:r w:rsidR="00814348">
        <w:rPr>
          <w:rFonts w:ascii="Arial" w:hAnsi="Arial" w:cs="Arial"/>
          <w:sz w:val="22"/>
          <w:szCs w:val="22"/>
        </w:rPr>
        <w:t xml:space="preserve">požaduje </w:t>
      </w:r>
      <w:r w:rsidR="0003010E">
        <w:rPr>
          <w:rFonts w:ascii="Arial" w:hAnsi="Arial" w:cs="Arial"/>
          <w:sz w:val="22"/>
          <w:szCs w:val="22"/>
        </w:rPr>
        <w:t xml:space="preserve">před jeho vydáním </w:t>
      </w:r>
      <w:r w:rsidR="00814348">
        <w:rPr>
          <w:rFonts w:ascii="Arial" w:hAnsi="Arial" w:cs="Arial"/>
          <w:sz w:val="22"/>
          <w:szCs w:val="22"/>
        </w:rPr>
        <w:t xml:space="preserve">zápis z povodňové prohlídky. Povodňová prohlídka proběhne v druhé polovině listopadu 2022. </w:t>
      </w:r>
    </w:p>
    <w:p w:rsidR="00D4195C" w:rsidRPr="00665A1F" w:rsidRDefault="00F027AD" w:rsidP="00665A1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objednatelem požadována úprava technického řešení opevnění břehů, konkrétně skladba kamenné rovnaniny, kdy je požadováno využití stávající kamenné dlažby.</w:t>
      </w:r>
      <w:r w:rsidR="0003010E">
        <w:rPr>
          <w:rFonts w:ascii="Arial" w:hAnsi="Arial" w:cs="Arial"/>
          <w:sz w:val="22"/>
          <w:szCs w:val="22"/>
        </w:rPr>
        <w:t xml:space="preserve"> Využití stávajících kamenů, které jsou menších rozměrů, bude nutné prověřit výpočtem, aby nedocházelo k vymílání při zvýšených průtocích.</w:t>
      </w:r>
    </w:p>
    <w:p w:rsidR="00D4195C" w:rsidRDefault="00D4195C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3CDF" w:rsidRPr="00882214" w:rsidRDefault="00053CDF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EA44DB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6060B" w:rsidRPr="006E708B" w:rsidRDefault="00C6060B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C6060B" w:rsidRDefault="00C6060B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 xml:space="preserve">dílčí termín - předání kompletní projektové dokumentace (2 x tištěné + 1 x elektronicky) po projednání na ZVV:   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9A2AF0">
        <w:rPr>
          <w:rFonts w:ascii="Arial" w:hAnsi="Arial" w:cs="Arial"/>
          <w:color w:val="000000"/>
          <w:sz w:val="22"/>
          <w:szCs w:val="22"/>
        </w:rPr>
        <w:t>3</w:t>
      </w:r>
      <w:r w:rsidR="006335E0">
        <w:rPr>
          <w:rFonts w:ascii="Arial" w:hAnsi="Arial" w:cs="Arial"/>
          <w:color w:val="000000"/>
          <w:sz w:val="22"/>
          <w:szCs w:val="22"/>
        </w:rPr>
        <w:t>1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6335E0">
        <w:rPr>
          <w:rFonts w:ascii="Arial" w:hAnsi="Arial" w:cs="Arial"/>
          <w:color w:val="000000"/>
          <w:sz w:val="22"/>
          <w:szCs w:val="22"/>
        </w:rPr>
        <w:t>10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</w:t>
      </w:r>
      <w:r w:rsidR="00004EBF">
        <w:rPr>
          <w:rFonts w:ascii="Arial" w:hAnsi="Arial" w:cs="Arial"/>
          <w:color w:val="000000"/>
          <w:sz w:val="22"/>
          <w:szCs w:val="22"/>
        </w:rPr>
        <w:t>2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6060B" w:rsidRDefault="00C6060B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5017" w:rsidRDefault="008B501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 xml:space="preserve">bez zbytečného odkladu, </w:t>
      </w:r>
      <w:r w:rsidRPr="008B5017">
        <w:rPr>
          <w:rFonts w:ascii="Arial" w:hAnsi="Arial" w:cs="Arial"/>
          <w:b/>
          <w:color w:val="000000"/>
          <w:sz w:val="22"/>
          <w:szCs w:val="22"/>
        </w:rPr>
        <w:t>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</w:t>
      </w:r>
      <w:r w:rsidR="008B5017">
        <w:rPr>
          <w:rFonts w:ascii="Arial" w:hAnsi="Arial" w:cs="Arial"/>
          <w:color w:val="000000"/>
          <w:sz w:val="22"/>
          <w:szCs w:val="22"/>
        </w:rPr>
        <w:t> 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projednání na ZVV: 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>nejpozději</w:t>
      </w:r>
      <w:r w:rsidR="00980CD9" w:rsidRPr="000D6FF0">
        <w:rPr>
          <w:rFonts w:ascii="Arial" w:hAnsi="Arial" w:cs="Arial"/>
          <w:color w:val="000000"/>
          <w:sz w:val="22"/>
          <w:szCs w:val="22"/>
        </w:rPr>
        <w:t xml:space="preserve"> 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 xml:space="preserve">do 60ti kalendářních dnů od </w:t>
      </w:r>
      <w:r w:rsidR="00980CD9">
        <w:rPr>
          <w:rFonts w:ascii="Arial" w:hAnsi="Arial" w:cs="Arial"/>
          <w:b/>
          <w:color w:val="000000"/>
          <w:sz w:val="22"/>
          <w:szCs w:val="22"/>
        </w:rPr>
        <w:t xml:space="preserve">vydání závazného stanoviska k zásahu do VKP 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5017" w:rsidRDefault="008B5017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6060B" w:rsidRDefault="00C6060B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67166D" w:rsidRDefault="0067166D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C6060B" w:rsidRDefault="00C6060B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6335E0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5017" w:rsidRDefault="008B501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5017" w:rsidRDefault="008B501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8B5017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A6A7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39097A">
        <w:rPr>
          <w:rFonts w:ascii="Arial" w:hAnsi="Arial" w:cs="Arial"/>
          <w:color w:val="000000"/>
          <w:sz w:val="22"/>
          <w:szCs w:val="22"/>
        </w:rPr>
        <w:t>Praze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8B5017" w:rsidRDefault="008B5017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27BBE" w:rsidRDefault="00A27BB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ředitel divize 06</w:t>
      </w:r>
    </w:p>
    <w:p w:rsidR="00004EBF" w:rsidRPr="00004EBF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Vodohospodářský rozvoj a výstavba a.s.</w:t>
      </w:r>
    </w:p>
    <w:p w:rsidR="00730F98" w:rsidRPr="00DE3558" w:rsidRDefault="00AD237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F7" w:rsidRDefault="009C01F7">
      <w:r>
        <w:separator/>
      </w:r>
    </w:p>
  </w:endnote>
  <w:endnote w:type="continuationSeparator" w:id="0">
    <w:p w:rsidR="009C01F7" w:rsidRDefault="009C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F7" w:rsidRDefault="009C01F7">
      <w:r>
        <w:separator/>
      </w:r>
    </w:p>
  </w:footnote>
  <w:footnote w:type="continuationSeparator" w:id="0">
    <w:p w:rsidR="009C01F7" w:rsidRDefault="009C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6335E0">
      <w:rPr>
        <w:rFonts w:ascii="Arial" w:hAnsi="Arial" w:cs="Arial"/>
        <w:sz w:val="22"/>
        <w:szCs w:val="22"/>
      </w:rPr>
      <w:t>3</w:t>
    </w:r>
    <w:r w:rsidRPr="000B3894">
      <w:rPr>
        <w:rFonts w:ascii="Arial" w:hAnsi="Arial" w:cs="Arial"/>
        <w:sz w:val="22"/>
        <w:szCs w:val="22"/>
      </w:rPr>
      <w:t xml:space="preserve"> k S</w:t>
    </w:r>
    <w:r w:rsidR="0067166D">
      <w:rPr>
        <w:rFonts w:ascii="Arial" w:hAnsi="Arial" w:cs="Arial"/>
        <w:sz w:val="22"/>
        <w:szCs w:val="22"/>
      </w:rPr>
      <w:t>o</w:t>
    </w:r>
    <w:r w:rsidRPr="000B3894">
      <w:rPr>
        <w:rFonts w:ascii="Arial" w:hAnsi="Arial" w:cs="Arial"/>
        <w:sz w:val="22"/>
        <w:szCs w:val="22"/>
      </w:rPr>
      <w:t xml:space="preserve">D </w:t>
    </w:r>
    <w:r w:rsidR="00EF7FFD">
      <w:rPr>
        <w:rFonts w:ascii="Arial" w:hAnsi="Arial" w:cs="Arial"/>
        <w:sz w:val="22"/>
        <w:szCs w:val="22"/>
      </w:rPr>
      <w:t>1</w:t>
    </w:r>
    <w:r w:rsidR="00166391">
      <w:rPr>
        <w:rFonts w:ascii="Arial" w:hAnsi="Arial" w:cs="Arial"/>
        <w:sz w:val="22"/>
        <w:szCs w:val="22"/>
      </w:rPr>
      <w:t>15</w:t>
    </w:r>
    <w:r w:rsidR="00EF7FFD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2345"/>
    <w:rsid w:val="00015756"/>
    <w:rsid w:val="0003010E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68C5"/>
    <w:rsid w:val="00081614"/>
    <w:rsid w:val="00083E5A"/>
    <w:rsid w:val="0008732D"/>
    <w:rsid w:val="00094E56"/>
    <w:rsid w:val="000A1445"/>
    <w:rsid w:val="000A1C0C"/>
    <w:rsid w:val="000B3894"/>
    <w:rsid w:val="000B623D"/>
    <w:rsid w:val="000B6E0A"/>
    <w:rsid w:val="000C327F"/>
    <w:rsid w:val="000C512F"/>
    <w:rsid w:val="000C56CF"/>
    <w:rsid w:val="000C6956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0EEE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3F85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356B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3430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56710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05B1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0775F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35E0"/>
    <w:rsid w:val="00635211"/>
    <w:rsid w:val="00637062"/>
    <w:rsid w:val="006621E5"/>
    <w:rsid w:val="00662360"/>
    <w:rsid w:val="00665A1F"/>
    <w:rsid w:val="00665EC1"/>
    <w:rsid w:val="006710D1"/>
    <w:rsid w:val="0067166D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25B1"/>
    <w:rsid w:val="006A5D8C"/>
    <w:rsid w:val="006A7E38"/>
    <w:rsid w:val="006B2A0C"/>
    <w:rsid w:val="006C239C"/>
    <w:rsid w:val="006C2E78"/>
    <w:rsid w:val="006C5F61"/>
    <w:rsid w:val="006C602E"/>
    <w:rsid w:val="006C6B65"/>
    <w:rsid w:val="006C7B9F"/>
    <w:rsid w:val="006D0F7D"/>
    <w:rsid w:val="006D119B"/>
    <w:rsid w:val="006D3D75"/>
    <w:rsid w:val="006D43E1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14348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017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0CD9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2AF0"/>
    <w:rsid w:val="009A4EEC"/>
    <w:rsid w:val="009B01FE"/>
    <w:rsid w:val="009B13D4"/>
    <w:rsid w:val="009B5520"/>
    <w:rsid w:val="009B5E91"/>
    <w:rsid w:val="009C01F7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27BBE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26C7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060B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4195C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27AD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8BF60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2022-11-29T08:51:00Z</dcterms:created>
  <dcterms:modified xsi:type="dcterms:W3CDTF">2022-11-29T08:51:00Z</dcterms:modified>
</cp:coreProperties>
</file>