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70FDC" w:rsidRDefault="00170FDC">
      <w:pPr>
        <w:pStyle w:val="Nadpis1"/>
        <w:jc w:val="center"/>
      </w:pPr>
      <w:r>
        <w:rPr>
          <w:b/>
          <w:sz w:val="28"/>
          <w:szCs w:val="28"/>
        </w:rPr>
        <w:t>Nájemní smlouva</w:t>
      </w:r>
    </w:p>
    <w:p w:rsidR="00170FDC" w:rsidRDefault="00170FDC">
      <w:pPr>
        <w:jc w:val="right"/>
      </w:pPr>
      <w:r>
        <w:rPr>
          <w:sz w:val="22"/>
          <w:szCs w:val="22"/>
        </w:rPr>
        <w:t>Č.278/Ba/22/</w:t>
      </w:r>
      <w:proofErr w:type="spellStart"/>
      <w:r>
        <w:rPr>
          <w:sz w:val="22"/>
          <w:szCs w:val="22"/>
        </w:rPr>
        <w:t>LM</w:t>
      </w:r>
      <w:proofErr w:type="spellEnd"/>
    </w:p>
    <w:p w:rsidR="00170FDC" w:rsidRDefault="00170FDC">
      <w:pPr>
        <w:jc w:val="right"/>
      </w:pP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>: ND/7009/401100/2022</w:t>
      </w:r>
    </w:p>
    <w:p w:rsidR="00170FDC" w:rsidRDefault="00170FDC">
      <w:pPr>
        <w:jc w:val="center"/>
        <w:rPr>
          <w:sz w:val="22"/>
          <w:szCs w:val="22"/>
        </w:rPr>
      </w:pPr>
    </w:p>
    <w:p w:rsidR="00170FDC" w:rsidRDefault="00170FDC">
      <w:pPr>
        <w:jc w:val="center"/>
        <w:rPr>
          <w:sz w:val="22"/>
          <w:szCs w:val="22"/>
        </w:rPr>
      </w:pPr>
    </w:p>
    <w:p w:rsidR="00170FDC" w:rsidRDefault="00170FDC">
      <w:pPr>
        <w:pStyle w:val="Nadpis1"/>
      </w:pPr>
      <w:r>
        <w:rPr>
          <w:b/>
          <w:sz w:val="22"/>
          <w:szCs w:val="22"/>
        </w:rPr>
        <w:t>Pronajímatel: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Národní divadlo</w:t>
      </w:r>
      <w:r>
        <w:rPr>
          <w:sz w:val="22"/>
          <w:szCs w:val="22"/>
        </w:rPr>
        <w:t xml:space="preserve"> </w:t>
      </w:r>
    </w:p>
    <w:p w:rsidR="00170FDC" w:rsidRDefault="00170FDC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Ostrovní 1, 112 30 Praha 1</w:t>
      </w:r>
    </w:p>
    <w:p w:rsidR="00170FDC" w:rsidRDefault="00170FDC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IČ: 00023337</w:t>
      </w:r>
    </w:p>
    <w:p w:rsidR="00170FDC" w:rsidRDefault="00170FDC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DIČ: CZ00023337</w:t>
      </w:r>
    </w:p>
    <w:p w:rsidR="00170FDC" w:rsidRDefault="00170FDC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bankovní spojení: KB Praha 1</w:t>
      </w:r>
    </w:p>
    <w:p w:rsidR="00170FDC" w:rsidRDefault="00170FDC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>.: 2832011/0710</w:t>
      </w:r>
      <w:proofErr w:type="gramEnd"/>
    </w:p>
    <w:p w:rsidR="00170FDC" w:rsidRDefault="00170FDC">
      <w:pPr>
        <w:ind w:left="2124" w:hanging="2124"/>
        <w:jc w:val="both"/>
      </w:pPr>
      <w:r>
        <w:rPr>
          <w:sz w:val="22"/>
          <w:szCs w:val="22"/>
        </w:rPr>
        <w:t>Zastoupený:</w:t>
      </w:r>
      <w:r>
        <w:rPr>
          <w:sz w:val="22"/>
          <w:szCs w:val="22"/>
        </w:rPr>
        <w:tab/>
      </w:r>
      <w:r w:rsidR="009A59DE" w:rsidRPr="009A59DE">
        <w:rPr>
          <w:rFonts w:cs="Arial"/>
          <w:sz w:val="22"/>
          <w:szCs w:val="22"/>
        </w:rPr>
        <w:t xml:space="preserve">Filipem </w:t>
      </w:r>
      <w:proofErr w:type="spellStart"/>
      <w:r w:rsidR="009A59DE" w:rsidRPr="009A59DE">
        <w:rPr>
          <w:rFonts w:cs="Arial"/>
          <w:sz w:val="22"/>
          <w:szCs w:val="22"/>
        </w:rPr>
        <w:t>Barankiewiczem</w:t>
      </w:r>
      <w:proofErr w:type="spellEnd"/>
      <w:r w:rsidR="009A59DE" w:rsidRPr="009A59DE">
        <w:rPr>
          <w:rFonts w:cs="Arial"/>
          <w:sz w:val="22"/>
          <w:szCs w:val="22"/>
        </w:rPr>
        <w:t>, uměleckým ředitelem Baletu</w:t>
      </w:r>
    </w:p>
    <w:p w:rsidR="00170FDC" w:rsidRDefault="00170FDC">
      <w:pPr>
        <w:jc w:val="both"/>
      </w:pPr>
      <w:r>
        <w:rPr>
          <w:sz w:val="22"/>
          <w:szCs w:val="22"/>
        </w:rPr>
        <w:t>(dále jen „ND“ nebo „pronajímatel“)</w:t>
      </w:r>
    </w:p>
    <w:p w:rsidR="00170FDC" w:rsidRDefault="00170FDC">
      <w:pPr>
        <w:jc w:val="both"/>
      </w:pPr>
      <w:r>
        <w:rPr>
          <w:sz w:val="22"/>
          <w:szCs w:val="22"/>
        </w:rPr>
        <w:t>a</w:t>
      </w:r>
    </w:p>
    <w:p w:rsidR="00170FDC" w:rsidRDefault="00170FDC">
      <w:pPr>
        <w:jc w:val="both"/>
        <w:rPr>
          <w:sz w:val="22"/>
          <w:szCs w:val="22"/>
        </w:rPr>
      </w:pPr>
    </w:p>
    <w:p w:rsidR="00170FDC" w:rsidRDefault="00170FDC">
      <w:pPr>
        <w:jc w:val="both"/>
      </w:pPr>
      <w:r>
        <w:rPr>
          <w:sz w:val="22"/>
          <w:szCs w:val="22"/>
        </w:rPr>
        <w:t xml:space="preserve">Nájemce: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Divadlo Josefa Kajetána Tyla</w:t>
      </w:r>
    </w:p>
    <w:p w:rsidR="00170FDC" w:rsidRDefault="00170FDC">
      <w:pPr>
        <w:ind w:left="1416" w:firstLine="708"/>
        <w:jc w:val="both"/>
      </w:pPr>
      <w:r>
        <w:rPr>
          <w:sz w:val="22"/>
          <w:szCs w:val="22"/>
        </w:rPr>
        <w:t>Palackého náměstí 2971/30, Jižní Předměstí, 301 00 Plzeň</w:t>
      </w:r>
    </w:p>
    <w:p w:rsidR="00170FDC" w:rsidRDefault="00170FDC">
      <w:pPr>
        <w:ind w:left="1416" w:firstLine="708"/>
        <w:jc w:val="both"/>
      </w:pPr>
      <w:r>
        <w:rPr>
          <w:sz w:val="22"/>
          <w:szCs w:val="22"/>
        </w:rPr>
        <w:t>IČO: 00078051</w:t>
      </w:r>
    </w:p>
    <w:p w:rsidR="00170FDC" w:rsidRDefault="00170FDC">
      <w:pPr>
        <w:ind w:left="1416" w:firstLine="708"/>
        <w:jc w:val="both"/>
      </w:pPr>
      <w:r>
        <w:rPr>
          <w:sz w:val="22"/>
          <w:szCs w:val="22"/>
        </w:rPr>
        <w:t>DIČ: CZ00078051</w:t>
      </w:r>
      <w:bookmarkStart w:id="0" w:name="_GoBack"/>
      <w:bookmarkEnd w:id="0"/>
    </w:p>
    <w:p w:rsidR="00170FDC" w:rsidRDefault="00170FDC">
      <w:pPr>
        <w:ind w:left="1416" w:firstLine="708"/>
        <w:jc w:val="both"/>
      </w:pPr>
      <w:r>
        <w:rPr>
          <w:sz w:val="22"/>
          <w:szCs w:val="22"/>
        </w:rPr>
        <w:t>bankovní spojení: Československá obchodní banka Plzeň-město</w:t>
      </w:r>
    </w:p>
    <w:p w:rsidR="00170FDC" w:rsidRDefault="00170FDC">
      <w:pPr>
        <w:ind w:left="1416" w:firstLine="708"/>
        <w:jc w:val="both"/>
      </w:pPr>
      <w:r>
        <w:rPr>
          <w:sz w:val="22"/>
          <w:szCs w:val="22"/>
        </w:rPr>
        <w:t xml:space="preserve">č.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>: 279936833/0300</w:t>
      </w:r>
    </w:p>
    <w:p w:rsidR="00170FDC" w:rsidRDefault="00170FDC">
      <w:pPr>
        <w:jc w:val="both"/>
      </w:pPr>
      <w:r>
        <w:rPr>
          <w:sz w:val="22"/>
          <w:szCs w:val="22"/>
        </w:rPr>
        <w:t>Zastoupený: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doc. MgA. Martinem Otavou, Ph.D. ředitelem divadla</w:t>
      </w:r>
    </w:p>
    <w:p w:rsidR="00170FDC" w:rsidRDefault="00170FDC">
      <w:pPr>
        <w:jc w:val="both"/>
      </w:pPr>
      <w:r>
        <w:rPr>
          <w:sz w:val="22"/>
          <w:szCs w:val="22"/>
        </w:rPr>
        <w:t>(dále jen „nájemce“)</w:t>
      </w:r>
    </w:p>
    <w:p w:rsidR="00170FDC" w:rsidRDefault="00170FDC">
      <w:pPr>
        <w:rPr>
          <w:sz w:val="22"/>
          <w:szCs w:val="22"/>
        </w:rPr>
      </w:pPr>
    </w:p>
    <w:p w:rsidR="00170FDC" w:rsidRDefault="00170FDC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70FDC" w:rsidRDefault="00170FDC">
      <w:pPr>
        <w:jc w:val="center"/>
      </w:pPr>
      <w:r>
        <w:rPr>
          <w:sz w:val="22"/>
          <w:szCs w:val="22"/>
        </w:rPr>
        <w:t>uzavírají dnešního dne tuto</w:t>
      </w:r>
    </w:p>
    <w:p w:rsidR="00170FDC" w:rsidRDefault="00170FDC">
      <w:pPr>
        <w:pStyle w:val="Nadpis2"/>
      </w:pPr>
      <w:r>
        <w:rPr>
          <w:sz w:val="22"/>
          <w:szCs w:val="22"/>
        </w:rPr>
        <w:t>N á j e m n í  s m l o u v u</w:t>
      </w:r>
    </w:p>
    <w:p w:rsidR="00170FDC" w:rsidRDefault="00170FDC">
      <w:pPr>
        <w:jc w:val="center"/>
      </w:pPr>
      <w:r>
        <w:rPr>
          <w:b/>
          <w:sz w:val="22"/>
          <w:szCs w:val="22"/>
        </w:rPr>
        <w:t>podle § 2201 občanského zákoníku</w:t>
      </w:r>
    </w:p>
    <w:p w:rsidR="00170FDC" w:rsidRDefault="00170FDC">
      <w:pPr>
        <w:jc w:val="both"/>
        <w:rPr>
          <w:b/>
          <w:sz w:val="22"/>
          <w:szCs w:val="22"/>
        </w:rPr>
      </w:pPr>
    </w:p>
    <w:p w:rsidR="00170FDC" w:rsidRDefault="00170FDC">
      <w:pPr>
        <w:jc w:val="both"/>
      </w:pPr>
      <w:r>
        <w:rPr>
          <w:b/>
          <w:sz w:val="22"/>
          <w:szCs w:val="22"/>
        </w:rPr>
        <w:t>I. Předmět smlouvy</w:t>
      </w:r>
    </w:p>
    <w:p w:rsidR="00170FDC" w:rsidRDefault="00170FDC">
      <w:pPr>
        <w:jc w:val="both"/>
        <w:rPr>
          <w:b/>
          <w:sz w:val="22"/>
          <w:szCs w:val="22"/>
        </w:rPr>
      </w:pPr>
    </w:p>
    <w:p w:rsidR="00170FDC" w:rsidRDefault="00170FDC">
      <w:pPr>
        <w:pStyle w:val="Zkladntext"/>
      </w:pPr>
      <w:r>
        <w:rPr>
          <w:sz w:val="22"/>
          <w:szCs w:val="22"/>
        </w:rPr>
        <w:t xml:space="preserve">Předmětem této smlouvy je pronájem movitých věcí – </w:t>
      </w:r>
      <w:r>
        <w:rPr>
          <w:sz w:val="22"/>
          <w:szCs w:val="22"/>
          <w:lang w:val="cs-CZ"/>
        </w:rPr>
        <w:t>baletní podlahy</w:t>
      </w:r>
      <w:r>
        <w:rPr>
          <w:sz w:val="22"/>
          <w:szCs w:val="22"/>
        </w:rPr>
        <w:t xml:space="preserve"> (dále také jen „věc“ nebo „předmět nájmu“), se kterými je pronajímatel oprávněn hospodařit, neboť tyto movité věci byly nakoupeny v rámci činnosti pronajímatele, a které pronajímatel přenechává dočasně za úplatu nájemci, aby jej nájemce po dobu platnosti této smlouvy užíval </w:t>
      </w:r>
      <w:r>
        <w:rPr>
          <w:sz w:val="22"/>
          <w:szCs w:val="22"/>
          <w:lang w:val="cs-CZ"/>
        </w:rPr>
        <w:t>pro účely baletního souboru divadla Josefa Kajetána Tyla v Plzni</w:t>
      </w:r>
      <w:r>
        <w:rPr>
          <w:sz w:val="22"/>
          <w:szCs w:val="22"/>
        </w:rPr>
        <w:t>. Pronajímatel dočasně nepotřebuje pronajaté věci k plnění svých úkolů.</w:t>
      </w:r>
    </w:p>
    <w:p w:rsidR="00170FDC" w:rsidRDefault="00170FDC">
      <w:pPr>
        <w:pStyle w:val="Zkladntext"/>
        <w:rPr>
          <w:sz w:val="22"/>
          <w:szCs w:val="22"/>
          <w:lang w:val="cs-CZ"/>
        </w:rPr>
      </w:pPr>
    </w:p>
    <w:p w:rsidR="00170FDC" w:rsidRDefault="00170FDC">
      <w:pPr>
        <w:pStyle w:val="Zkladntext"/>
      </w:pPr>
      <w:r>
        <w:rPr>
          <w:sz w:val="22"/>
          <w:szCs w:val="22"/>
          <w:lang w:val="cs-CZ"/>
        </w:rPr>
        <w:t>Specifikace předmětu nájmu:</w:t>
      </w:r>
    </w:p>
    <w:p w:rsidR="00170FDC" w:rsidRDefault="00170FDC">
      <w:pPr>
        <w:pStyle w:val="Zkladntext"/>
        <w:rPr>
          <w:b/>
          <w:sz w:val="22"/>
          <w:szCs w:val="22"/>
          <w:lang w:val="cs-CZ"/>
        </w:rPr>
      </w:pPr>
    </w:p>
    <w:p w:rsidR="00170FDC" w:rsidRDefault="00170FDC">
      <w:pPr>
        <w:pStyle w:val="Zkladntext"/>
        <w:numPr>
          <w:ilvl w:val="0"/>
          <w:numId w:val="4"/>
        </w:numPr>
      </w:pPr>
      <w:r>
        <w:rPr>
          <w:b/>
          <w:sz w:val="22"/>
          <w:szCs w:val="22"/>
          <w:lang w:val="cs-CZ"/>
        </w:rPr>
        <w:t xml:space="preserve">speciální odpružená baletní podlaha (výrobce Harlequin </w:t>
      </w:r>
      <w:proofErr w:type="spellStart"/>
      <w:r>
        <w:rPr>
          <w:b/>
          <w:sz w:val="22"/>
          <w:szCs w:val="22"/>
          <w:lang w:val="cs-CZ"/>
        </w:rPr>
        <w:t>Floors</w:t>
      </w:r>
      <w:proofErr w:type="spellEnd"/>
      <w:r>
        <w:rPr>
          <w:b/>
          <w:sz w:val="22"/>
          <w:szCs w:val="22"/>
          <w:lang w:val="cs-CZ"/>
        </w:rPr>
        <w:t>), v přibližném celkovém rozměru      15x15 m, rozebíratelná na desky. Počet desek bude uveden v předávacím protokolu, podepsaném při předání</w:t>
      </w:r>
    </w:p>
    <w:p w:rsidR="00170FDC" w:rsidRDefault="00170FDC">
      <w:pPr>
        <w:pStyle w:val="Zkladntext"/>
        <w:numPr>
          <w:ilvl w:val="0"/>
          <w:numId w:val="4"/>
        </w:numPr>
      </w:pPr>
      <w:r>
        <w:rPr>
          <w:b/>
          <w:sz w:val="22"/>
          <w:szCs w:val="22"/>
          <w:lang w:val="cs-CZ"/>
        </w:rPr>
        <w:t xml:space="preserve">transportní vozy pro tuto </w:t>
      </w:r>
      <w:proofErr w:type="gramStart"/>
      <w:r>
        <w:rPr>
          <w:b/>
          <w:sz w:val="22"/>
          <w:szCs w:val="22"/>
          <w:lang w:val="cs-CZ"/>
        </w:rPr>
        <w:t>podlahu : 4  ks</w:t>
      </w:r>
      <w:proofErr w:type="gramEnd"/>
    </w:p>
    <w:p w:rsidR="00170FDC" w:rsidRDefault="00170FDC">
      <w:pPr>
        <w:pStyle w:val="Zkladntext"/>
        <w:tabs>
          <w:tab w:val="left" w:pos="1730"/>
        </w:tabs>
      </w:pPr>
      <w:r>
        <w:rPr>
          <w:b/>
          <w:sz w:val="22"/>
          <w:szCs w:val="22"/>
        </w:rPr>
        <w:tab/>
      </w:r>
    </w:p>
    <w:p w:rsidR="00170FDC" w:rsidRDefault="00170FDC">
      <w:pPr>
        <w:pStyle w:val="Zkladntext"/>
      </w:pPr>
      <w:r>
        <w:rPr>
          <w:sz w:val="22"/>
          <w:szCs w:val="22"/>
          <w:lang w:val="cs-CZ"/>
        </w:rPr>
        <w:t>Nájemce dále zajistí a uhradí:</w:t>
      </w:r>
    </w:p>
    <w:p w:rsidR="00170FDC" w:rsidRDefault="00170FDC">
      <w:pPr>
        <w:pStyle w:val="Zkladntext"/>
        <w:numPr>
          <w:ilvl w:val="0"/>
          <w:numId w:val="7"/>
        </w:numPr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dopravu předmětu nájmu od pronajímatele, adresa naložení: Za Cukrovarem, Praha 9 - Čakovice</w:t>
      </w:r>
      <w:r>
        <w:rPr>
          <w:sz w:val="22"/>
          <w:szCs w:val="22"/>
          <w:lang w:val="cs-CZ"/>
        </w:rPr>
        <w:t xml:space="preserve">  </w:t>
      </w:r>
      <w:r>
        <w:rPr>
          <w:b/>
          <w:sz w:val="22"/>
          <w:szCs w:val="22"/>
          <w:lang w:val="cs-CZ"/>
        </w:rPr>
        <w:t xml:space="preserve">dne 9. 11. 2022 dle časové dohody s panem Petrem </w:t>
      </w:r>
      <w:proofErr w:type="spellStart"/>
      <w:r>
        <w:rPr>
          <w:b/>
          <w:sz w:val="22"/>
          <w:szCs w:val="22"/>
          <w:lang w:val="cs-CZ"/>
        </w:rPr>
        <w:t>Tollarem</w:t>
      </w:r>
      <w:proofErr w:type="spellEnd"/>
      <w:r>
        <w:rPr>
          <w:b/>
          <w:sz w:val="22"/>
          <w:szCs w:val="22"/>
          <w:lang w:val="cs-CZ"/>
        </w:rPr>
        <w:t xml:space="preserve">, vedoucím Odboru dopravy a skladu dekorací, mobil: </w:t>
      </w:r>
      <w:proofErr w:type="spellStart"/>
      <w:r w:rsidR="009F574D">
        <w:rPr>
          <w:b/>
          <w:sz w:val="22"/>
          <w:szCs w:val="22"/>
          <w:lang w:val="cs-CZ"/>
        </w:rPr>
        <w:t>xxx</w:t>
      </w:r>
      <w:proofErr w:type="spellEnd"/>
      <w:r>
        <w:rPr>
          <w:b/>
          <w:sz w:val="22"/>
          <w:szCs w:val="22"/>
          <w:lang w:val="cs-CZ"/>
        </w:rPr>
        <w:t xml:space="preserve">, e - mail: </w:t>
      </w:r>
      <w:hyperlink r:id="rId5" w:history="1">
        <w:proofErr w:type="spellStart"/>
        <w:r w:rsidR="009F574D">
          <w:rPr>
            <w:rStyle w:val="Hypertextovodkaz"/>
            <w:b/>
            <w:sz w:val="22"/>
            <w:szCs w:val="22"/>
            <w:lang w:val="cs-CZ"/>
          </w:rPr>
          <w:t>xxx</w:t>
        </w:r>
        <w:proofErr w:type="spellEnd"/>
      </w:hyperlink>
    </w:p>
    <w:p w:rsidR="00170FDC" w:rsidRDefault="00170FDC">
      <w:pPr>
        <w:pStyle w:val="Zkladntext"/>
        <w:numPr>
          <w:ilvl w:val="0"/>
          <w:numId w:val="7"/>
        </w:numPr>
      </w:pPr>
      <w:r>
        <w:rPr>
          <w:b/>
          <w:sz w:val="22"/>
          <w:szCs w:val="22"/>
          <w:lang w:val="cs-CZ"/>
        </w:rPr>
        <w:t>dopravu předmětu nájmu po ukončení této smlouvy zpět pronajímateli.</w:t>
      </w:r>
    </w:p>
    <w:p w:rsidR="00170FDC" w:rsidRDefault="00170FDC">
      <w:pPr>
        <w:pStyle w:val="Zkladntext"/>
        <w:ind w:left="3540" w:hanging="3540"/>
        <w:rPr>
          <w:b/>
          <w:sz w:val="22"/>
          <w:szCs w:val="22"/>
          <w:highlight w:val="yellow"/>
        </w:rPr>
      </w:pPr>
    </w:p>
    <w:p w:rsidR="00170FDC" w:rsidRDefault="00170FDC">
      <w:pPr>
        <w:pStyle w:val="Zkladntext"/>
        <w:rPr>
          <w:b/>
          <w:sz w:val="22"/>
          <w:szCs w:val="22"/>
          <w:highlight w:val="yellow"/>
        </w:rPr>
      </w:pPr>
    </w:p>
    <w:p w:rsidR="00170FDC" w:rsidRDefault="00170FDC">
      <w:pPr>
        <w:pStyle w:val="Zkladntext"/>
        <w:rPr>
          <w:b/>
          <w:sz w:val="22"/>
          <w:szCs w:val="22"/>
        </w:rPr>
      </w:pPr>
    </w:p>
    <w:p w:rsidR="00170FDC" w:rsidRDefault="00170FDC">
      <w:pPr>
        <w:pStyle w:val="Zkladntext"/>
      </w:pPr>
      <w:r>
        <w:rPr>
          <w:b/>
          <w:sz w:val="22"/>
          <w:szCs w:val="22"/>
        </w:rPr>
        <w:t>II. Práva a povinnosti smluvních stran</w:t>
      </w:r>
    </w:p>
    <w:p w:rsidR="00170FDC" w:rsidRDefault="00170FDC">
      <w:pPr>
        <w:jc w:val="both"/>
        <w:rPr>
          <w:b/>
          <w:sz w:val="22"/>
          <w:szCs w:val="22"/>
        </w:rPr>
      </w:pPr>
    </w:p>
    <w:p w:rsidR="00170FDC" w:rsidRDefault="00170FDC">
      <w:pPr>
        <w:numPr>
          <w:ilvl w:val="0"/>
          <w:numId w:val="5"/>
        </w:numPr>
        <w:jc w:val="both"/>
      </w:pPr>
      <w:r>
        <w:rPr>
          <w:sz w:val="22"/>
          <w:szCs w:val="22"/>
        </w:rPr>
        <w:lastRenderedPageBreak/>
        <w:t xml:space="preserve">Pronajímatel prohlašuje, že jeho příslušnost hospodařit s majetkem uvedeným v čl. I této smlouvy je založena tím, že tento movitý majetek byl nakoupen pronajímatelem v rámci jeho činnosti dle Statutu ND. </w:t>
      </w:r>
    </w:p>
    <w:p w:rsidR="00170FDC" w:rsidRDefault="00170FDC">
      <w:pPr>
        <w:numPr>
          <w:ilvl w:val="0"/>
          <w:numId w:val="5"/>
        </w:numPr>
        <w:jc w:val="both"/>
      </w:pPr>
      <w:r>
        <w:rPr>
          <w:sz w:val="22"/>
          <w:szCs w:val="22"/>
        </w:rPr>
        <w:t>Pronajímatel je povinen přenechat pronajatou věc nájemci ve stavu způsobilém ke smluvnímu užívání a nájemce je povinen věc v tomto stavu svým nákladem udržovat a vrátit.</w:t>
      </w:r>
    </w:p>
    <w:p w:rsidR="00170FDC" w:rsidRDefault="00170FDC">
      <w:pPr>
        <w:numPr>
          <w:ilvl w:val="0"/>
          <w:numId w:val="5"/>
        </w:numPr>
        <w:jc w:val="both"/>
      </w:pPr>
      <w:r>
        <w:rPr>
          <w:sz w:val="22"/>
          <w:szCs w:val="22"/>
        </w:rPr>
        <w:t>Nájemce je oprávněn užívat věc způsobem stanoveným ve smlouvě.</w:t>
      </w:r>
    </w:p>
    <w:p w:rsidR="00170FDC" w:rsidRDefault="00170FDC">
      <w:pPr>
        <w:numPr>
          <w:ilvl w:val="0"/>
          <w:numId w:val="5"/>
        </w:numPr>
        <w:jc w:val="both"/>
      </w:pPr>
      <w:r>
        <w:rPr>
          <w:sz w:val="22"/>
          <w:szCs w:val="22"/>
        </w:rPr>
        <w:t>Nájemce není oprávněn dát pronajatou věc dále do podnájmu ani jiným způsobem umožnit třetí osobě, aby předmět nájmu užívala.</w:t>
      </w:r>
    </w:p>
    <w:p w:rsidR="00170FDC" w:rsidRDefault="00170FDC">
      <w:pPr>
        <w:numPr>
          <w:ilvl w:val="0"/>
          <w:numId w:val="5"/>
        </w:numPr>
        <w:jc w:val="both"/>
      </w:pPr>
      <w:r>
        <w:rPr>
          <w:sz w:val="22"/>
          <w:szCs w:val="22"/>
        </w:rPr>
        <w:t>Nájemce je povinen pečovat o to, aby na věci nevznikla škoda, aby nedošlo ke ztrátě předmětu nájmu, odcizení apod. Nájemce je povinen neprodleně o těchto skutečnostech pronajímatele uvědomit, a to i před uplynutím sjednané doby nájmu.</w:t>
      </w:r>
    </w:p>
    <w:p w:rsidR="00170FDC" w:rsidRDefault="00170FDC">
      <w:pPr>
        <w:numPr>
          <w:ilvl w:val="0"/>
          <w:numId w:val="5"/>
        </w:numPr>
        <w:jc w:val="both"/>
      </w:pPr>
      <w:r>
        <w:rPr>
          <w:sz w:val="22"/>
          <w:szCs w:val="22"/>
        </w:rPr>
        <w:t>Nájemce je povinen v případě ztráty či zničení předmětu nájmu (nebo i části předmětu nájmu) či jeho nevrácení z jiných důvodů ve stanovené době dle této smlouvy zaplatit pronajímateli náhradu škody, která mu tímto vznikla. O výši škody bude nájemce písemně vyrozuměn. Tuto náhradu škody je nájemce povinen uhradit na základě faktury vystavené pronajímatelem ve lhůtě na faktuře stanovené.</w:t>
      </w:r>
    </w:p>
    <w:p w:rsidR="00170FDC" w:rsidRDefault="00170FDC">
      <w:pPr>
        <w:numPr>
          <w:ilvl w:val="0"/>
          <w:numId w:val="5"/>
        </w:numPr>
        <w:jc w:val="both"/>
      </w:pPr>
      <w:r>
        <w:rPr>
          <w:sz w:val="22"/>
          <w:szCs w:val="22"/>
        </w:rPr>
        <w:t>Nájemce potvrzuje, že stav předmětu nájmu umožňuje jeho užití dle této smlouvy. Nájemce není oprávněn bez předchozího písemného souhlasu Pronajímatele užívat předmět nájmu k jinému než ke smluvenému účelu.</w:t>
      </w:r>
    </w:p>
    <w:p w:rsidR="00170FDC" w:rsidRDefault="00170FDC">
      <w:pPr>
        <w:jc w:val="both"/>
        <w:rPr>
          <w:sz w:val="22"/>
          <w:szCs w:val="22"/>
        </w:rPr>
      </w:pPr>
    </w:p>
    <w:p w:rsidR="00170FDC" w:rsidRDefault="00170FDC">
      <w:pPr>
        <w:jc w:val="both"/>
      </w:pPr>
      <w:r>
        <w:rPr>
          <w:b/>
          <w:sz w:val="22"/>
          <w:szCs w:val="22"/>
        </w:rPr>
        <w:t>III.   Nájemné</w:t>
      </w:r>
    </w:p>
    <w:p w:rsidR="00170FDC" w:rsidRDefault="00170FDC">
      <w:pPr>
        <w:jc w:val="both"/>
        <w:rPr>
          <w:b/>
          <w:sz w:val="22"/>
          <w:szCs w:val="22"/>
        </w:rPr>
      </w:pPr>
    </w:p>
    <w:p w:rsidR="00170FDC" w:rsidRDefault="00170FDC">
      <w:pPr>
        <w:jc w:val="both"/>
      </w:pPr>
      <w:r>
        <w:rPr>
          <w:sz w:val="22"/>
          <w:szCs w:val="22"/>
        </w:rPr>
        <w:t>Smluvní částka nájemného činí</w:t>
      </w:r>
      <w:r>
        <w:rPr>
          <w:b/>
          <w:sz w:val="22"/>
          <w:szCs w:val="22"/>
        </w:rPr>
        <w:t xml:space="preserve"> 100 000,- Kč + DPH ve výši 21%, tj. 121 000,- Kč </w:t>
      </w:r>
      <w:r>
        <w:rPr>
          <w:sz w:val="22"/>
          <w:szCs w:val="22"/>
        </w:rPr>
        <w:t>za každý započatý kalendářní rok po dobu trvání této smlouvy.</w:t>
      </w:r>
    </w:p>
    <w:p w:rsidR="00170FDC" w:rsidRDefault="00170FDC">
      <w:pPr>
        <w:tabs>
          <w:tab w:val="left" w:pos="-2977"/>
          <w:tab w:val="left" w:pos="0"/>
        </w:tabs>
        <w:jc w:val="both"/>
      </w:pPr>
      <w:r>
        <w:rPr>
          <w:sz w:val="22"/>
          <w:szCs w:val="22"/>
        </w:rPr>
        <w:t>Nájemné bude uhrazeno nájemcem bankovním převodem na základě faktury se splatností 15 dní od doručení faktury nájemci. Faktura bude vystavena vždy k 9. 11. daného roku. Za okamžik uhrazení faktury se považuje datum, kdy byla předmětná částka připsána na účet pronajímatele. V případě, že bude pronajímatel ke dni zdanitelného plnění zveřejněn podle zákona č. 235/2004 Sb., o dani z přidané hodnoty jako nespolehlivý plátce, nebo uvede jiný účet, než je uveden v „Registru plátců DPH“ podle zákona č. 235/2004 Sb., o dani z přidané hodnoty, souhlasí se zajištěním částky DPH přímo ve prospěch správce daně.</w:t>
      </w:r>
    </w:p>
    <w:p w:rsidR="00170FDC" w:rsidRDefault="00170FDC">
      <w:pPr>
        <w:pStyle w:val="Zkladntext"/>
        <w:rPr>
          <w:b/>
          <w:sz w:val="22"/>
          <w:szCs w:val="22"/>
        </w:rPr>
      </w:pPr>
    </w:p>
    <w:p w:rsidR="00170FDC" w:rsidRDefault="00170FDC">
      <w:pPr>
        <w:pStyle w:val="Zkladntext"/>
      </w:pPr>
      <w:r>
        <w:rPr>
          <w:b/>
          <w:sz w:val="22"/>
          <w:szCs w:val="22"/>
        </w:rPr>
        <w:t>IV.  Doba nájmu</w:t>
      </w:r>
    </w:p>
    <w:p w:rsidR="00170FDC" w:rsidRDefault="00170FDC">
      <w:pPr>
        <w:pStyle w:val="Zkladntext"/>
        <w:rPr>
          <w:sz w:val="22"/>
          <w:szCs w:val="22"/>
        </w:rPr>
      </w:pPr>
    </w:p>
    <w:p w:rsidR="00170FDC" w:rsidRDefault="00170FDC">
      <w:pPr>
        <w:pStyle w:val="Zkladntext"/>
        <w:numPr>
          <w:ilvl w:val="0"/>
          <w:numId w:val="2"/>
        </w:numPr>
      </w:pPr>
      <w:r>
        <w:rPr>
          <w:sz w:val="22"/>
          <w:szCs w:val="22"/>
        </w:rPr>
        <w:t xml:space="preserve">Nájemní smlouva na pronajaté věci je sjednána na dobu určitou a to od </w:t>
      </w:r>
      <w:r>
        <w:rPr>
          <w:b/>
          <w:sz w:val="22"/>
          <w:szCs w:val="22"/>
          <w:lang w:val="cs-CZ"/>
        </w:rPr>
        <w:t>9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  <w:lang w:val="cs-CZ"/>
        </w:rPr>
        <w:t xml:space="preserve"> 11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  <w:lang w:val="cs-CZ"/>
        </w:rPr>
        <w:t xml:space="preserve"> </w:t>
      </w:r>
      <w:r>
        <w:rPr>
          <w:b/>
          <w:sz w:val="22"/>
          <w:szCs w:val="22"/>
        </w:rPr>
        <w:t xml:space="preserve">2022 </w:t>
      </w:r>
      <w:r>
        <w:rPr>
          <w:sz w:val="22"/>
          <w:szCs w:val="22"/>
        </w:rPr>
        <w:t xml:space="preserve">do </w:t>
      </w:r>
      <w:r>
        <w:rPr>
          <w:b/>
          <w:sz w:val="22"/>
          <w:szCs w:val="22"/>
          <w:lang w:val="cs-CZ"/>
        </w:rPr>
        <w:t>8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  <w:lang w:val="cs-CZ"/>
        </w:rPr>
        <w:t>11</w:t>
      </w:r>
      <w:r>
        <w:rPr>
          <w:b/>
          <w:sz w:val="22"/>
          <w:szCs w:val="22"/>
        </w:rPr>
        <w:t>. 2023</w:t>
      </w:r>
      <w:r>
        <w:rPr>
          <w:sz w:val="22"/>
          <w:szCs w:val="22"/>
        </w:rPr>
        <w:t>.</w:t>
      </w:r>
      <w:r>
        <w:rPr>
          <w:sz w:val="22"/>
          <w:szCs w:val="22"/>
          <w:lang w:val="cs-CZ"/>
        </w:rPr>
        <w:t xml:space="preserve"> V případě zájmu obou stran může být trvání této smlouvy prodlouženo. Smluvní strany se dohodly na výpovědní lhůtě 5 měsíců.</w:t>
      </w:r>
    </w:p>
    <w:p w:rsidR="00170FDC" w:rsidRDefault="00170FDC">
      <w:pPr>
        <w:numPr>
          <w:ilvl w:val="0"/>
          <w:numId w:val="2"/>
        </w:numPr>
      </w:pPr>
      <w:r>
        <w:rPr>
          <w:rFonts w:cs="Arial"/>
          <w:sz w:val="22"/>
          <w:szCs w:val="22"/>
        </w:rPr>
        <w:t>Jednáním za nájemce je pověřen:</w:t>
      </w:r>
    </w:p>
    <w:p w:rsidR="00170FDC" w:rsidRDefault="00170FDC">
      <w:pPr>
        <w:numPr>
          <w:ilvl w:val="1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Ve věcech smluvních:</w:t>
      </w:r>
      <w:r>
        <w:t xml:space="preserve"> </w:t>
      </w:r>
      <w:r>
        <w:rPr>
          <w:rFonts w:cs="Arial"/>
          <w:b/>
          <w:sz w:val="22"/>
          <w:szCs w:val="22"/>
        </w:rPr>
        <w:t>Ing. Kateřina Königová</w:t>
      </w:r>
      <w:r>
        <w:rPr>
          <w:rFonts w:cs="Arial"/>
          <w:sz w:val="22"/>
          <w:szCs w:val="22"/>
        </w:rPr>
        <w:t>, tel.:</w:t>
      </w:r>
      <w:r>
        <w:t xml:space="preserve"> </w:t>
      </w:r>
      <w:proofErr w:type="spellStart"/>
      <w:r w:rsidR="009F574D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 xml:space="preserve">, e-mail: </w:t>
      </w:r>
      <w:hyperlink r:id="rId6" w:history="1">
        <w:proofErr w:type="spellStart"/>
        <w:r w:rsidR="009F574D">
          <w:rPr>
            <w:rStyle w:val="Hypertextovodkaz"/>
            <w:rFonts w:ascii="Arial" w:hAnsi="Arial" w:cs="Arial"/>
            <w:b/>
            <w:color w:val="000000"/>
            <w:sz w:val="19"/>
            <w:szCs w:val="19"/>
            <w:u w:val="none"/>
            <w:shd w:val="clear" w:color="auto" w:fill="FFFFFF"/>
          </w:rPr>
          <w:t>xxx</w:t>
        </w:r>
        <w:proofErr w:type="spellEnd"/>
      </w:hyperlink>
    </w:p>
    <w:p w:rsidR="00170FDC" w:rsidRDefault="00170FDC">
      <w:pPr>
        <w:numPr>
          <w:ilvl w:val="1"/>
          <w:numId w:val="2"/>
        </w:numPr>
      </w:pPr>
      <w:r>
        <w:rPr>
          <w:rFonts w:cs="Arial"/>
          <w:sz w:val="22"/>
          <w:szCs w:val="22"/>
        </w:rPr>
        <w:t xml:space="preserve">Ve věcech technických: </w:t>
      </w:r>
      <w:r>
        <w:rPr>
          <w:rFonts w:cs="Arial"/>
          <w:b/>
          <w:sz w:val="22"/>
          <w:szCs w:val="22"/>
        </w:rPr>
        <w:t xml:space="preserve">Jan Baxa, </w:t>
      </w:r>
      <w:r>
        <w:rPr>
          <w:rFonts w:cs="Arial"/>
          <w:sz w:val="22"/>
          <w:szCs w:val="22"/>
        </w:rPr>
        <w:t>tel.</w:t>
      </w:r>
      <w:r>
        <w:rPr>
          <w:rFonts w:cs="Arial"/>
          <w:b/>
          <w:sz w:val="22"/>
          <w:szCs w:val="22"/>
        </w:rPr>
        <w:t xml:space="preserve">: </w:t>
      </w:r>
      <w:proofErr w:type="spellStart"/>
      <w:r w:rsidR="009F574D">
        <w:rPr>
          <w:rFonts w:cs="Arial"/>
          <w:b/>
          <w:sz w:val="22"/>
          <w:szCs w:val="22"/>
        </w:rPr>
        <w:t>xxx</w:t>
      </w:r>
      <w:proofErr w:type="spellEnd"/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e-mail</w:t>
      </w:r>
      <w:r>
        <w:rPr>
          <w:rFonts w:cs="Arial"/>
          <w:b/>
          <w:sz w:val="22"/>
          <w:szCs w:val="22"/>
        </w:rPr>
        <w:t xml:space="preserve">: </w:t>
      </w:r>
      <w:proofErr w:type="spellStart"/>
      <w:r w:rsidR="009F574D">
        <w:rPr>
          <w:rFonts w:cs="Arial"/>
          <w:b/>
          <w:sz w:val="22"/>
          <w:szCs w:val="22"/>
        </w:rPr>
        <w:t>xxx</w:t>
      </w:r>
      <w:proofErr w:type="spellEnd"/>
    </w:p>
    <w:p w:rsidR="00170FDC" w:rsidRDefault="00170FDC">
      <w:pPr>
        <w:numPr>
          <w:ilvl w:val="0"/>
          <w:numId w:val="2"/>
        </w:numPr>
        <w:jc w:val="both"/>
      </w:pPr>
      <w:r>
        <w:rPr>
          <w:rFonts w:cs="Arial"/>
          <w:sz w:val="22"/>
          <w:szCs w:val="22"/>
        </w:rPr>
        <w:t xml:space="preserve">Jednáním za ND je pověřen: </w:t>
      </w:r>
    </w:p>
    <w:p w:rsidR="00170FDC" w:rsidRDefault="00170FDC">
      <w:pPr>
        <w:numPr>
          <w:ilvl w:val="1"/>
          <w:numId w:val="2"/>
        </w:numPr>
        <w:jc w:val="both"/>
      </w:pPr>
      <w:r>
        <w:rPr>
          <w:rFonts w:cs="Arial"/>
          <w:sz w:val="22"/>
          <w:szCs w:val="22"/>
        </w:rPr>
        <w:t xml:space="preserve">Ve věcech smluvních: </w:t>
      </w:r>
      <w:r>
        <w:rPr>
          <w:rFonts w:cs="Arial"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Martin Rypan,</w:t>
      </w:r>
      <w:r>
        <w:rPr>
          <w:rFonts w:cs="Arial"/>
          <w:sz w:val="22"/>
          <w:szCs w:val="22"/>
        </w:rPr>
        <w:t xml:space="preserve"> tel: </w:t>
      </w:r>
      <w:proofErr w:type="spellStart"/>
      <w:r w:rsidR="009F574D">
        <w:rPr>
          <w:b/>
          <w:sz w:val="22"/>
          <w:szCs w:val="22"/>
        </w:rPr>
        <w:t>xxx</w:t>
      </w:r>
      <w:proofErr w:type="spellEnd"/>
      <w:r>
        <w:rPr>
          <w:sz w:val="22"/>
          <w:szCs w:val="22"/>
        </w:rPr>
        <w:t xml:space="preserve">, e-mail: </w:t>
      </w:r>
      <w:proofErr w:type="spellStart"/>
      <w:r w:rsidR="009F574D">
        <w:rPr>
          <w:sz w:val="22"/>
          <w:szCs w:val="22"/>
        </w:rPr>
        <w:t>xxx</w:t>
      </w:r>
      <w:proofErr w:type="spellEnd"/>
    </w:p>
    <w:p w:rsidR="00170FDC" w:rsidRDefault="00170FDC">
      <w:pPr>
        <w:numPr>
          <w:ilvl w:val="1"/>
          <w:numId w:val="2"/>
        </w:numPr>
        <w:jc w:val="both"/>
      </w:pPr>
      <w:r>
        <w:rPr>
          <w:sz w:val="22"/>
          <w:szCs w:val="22"/>
        </w:rPr>
        <w:t xml:space="preserve">Ve věcech technických: </w:t>
      </w:r>
      <w:r>
        <w:rPr>
          <w:sz w:val="22"/>
          <w:szCs w:val="22"/>
        </w:rPr>
        <w:tab/>
      </w:r>
      <w:r>
        <w:rPr>
          <w:rFonts w:cs="Arial"/>
          <w:b/>
          <w:sz w:val="22"/>
          <w:szCs w:val="22"/>
        </w:rPr>
        <w:t>Jiří Brabec,</w:t>
      </w:r>
      <w:r>
        <w:rPr>
          <w:rFonts w:cs="Arial"/>
          <w:sz w:val="22"/>
          <w:szCs w:val="22"/>
        </w:rPr>
        <w:t xml:space="preserve"> tel: </w:t>
      </w:r>
      <w:proofErr w:type="spellStart"/>
      <w:r w:rsidR="009F574D">
        <w:rPr>
          <w:b/>
          <w:sz w:val="22"/>
          <w:szCs w:val="22"/>
        </w:rPr>
        <w:t>xxx</w:t>
      </w:r>
      <w:proofErr w:type="spellEnd"/>
      <w:r>
        <w:rPr>
          <w:sz w:val="22"/>
          <w:szCs w:val="22"/>
        </w:rPr>
        <w:t xml:space="preserve">, e-mail: </w:t>
      </w:r>
      <w:proofErr w:type="spellStart"/>
      <w:r w:rsidR="009F574D">
        <w:rPr>
          <w:sz w:val="22"/>
          <w:szCs w:val="22"/>
        </w:rPr>
        <w:t>xxx</w:t>
      </w:r>
      <w:proofErr w:type="spellEnd"/>
    </w:p>
    <w:p w:rsidR="00170FDC" w:rsidRDefault="00170FDC">
      <w:pPr>
        <w:pStyle w:val="Zkladntext"/>
        <w:numPr>
          <w:ilvl w:val="0"/>
          <w:numId w:val="2"/>
        </w:numPr>
      </w:pPr>
      <w:r>
        <w:rPr>
          <w:sz w:val="22"/>
          <w:szCs w:val="22"/>
        </w:rPr>
        <w:t xml:space="preserve">Od této smlouvy je možno odstoupit v případě, že druhá smluvní strana porušuje hrubým způsobem smluvní povinnosti, zejména v případě, že nájemce neuhradí ani po dodatečně stanovené lhůtě nájemné či užívá předmět nájmu v rozporu se smlouvou. Pronajímatel je dále oprávněn od smlouvy odstoupit v případě, že předmět nájmu bude potřebovat pronajímatel pro plnění či zajištění předmětu své činnosti. Odstoupení je účinné dnem jeho doručení druhé smluvní straně. </w:t>
      </w:r>
    </w:p>
    <w:p w:rsidR="00170FDC" w:rsidRDefault="00170FDC">
      <w:pPr>
        <w:pStyle w:val="Zkladntext"/>
        <w:numPr>
          <w:ilvl w:val="0"/>
          <w:numId w:val="2"/>
        </w:numPr>
      </w:pPr>
      <w:r>
        <w:rPr>
          <w:sz w:val="22"/>
          <w:szCs w:val="22"/>
        </w:rPr>
        <w:t>Po skončení nájemní smlouvy je nájemce povinen vrátit pronajatou věc ve způsobilém stavu</w:t>
      </w:r>
      <w:r>
        <w:rPr>
          <w:sz w:val="22"/>
          <w:szCs w:val="22"/>
          <w:lang w:val="cs-CZ"/>
        </w:rPr>
        <w:t>.</w:t>
      </w:r>
    </w:p>
    <w:p w:rsidR="00170FDC" w:rsidRDefault="00170FDC">
      <w:pPr>
        <w:pStyle w:val="Zkladntext"/>
        <w:ind w:left="360"/>
        <w:rPr>
          <w:sz w:val="22"/>
          <w:szCs w:val="22"/>
        </w:rPr>
      </w:pPr>
    </w:p>
    <w:p w:rsidR="00170FDC" w:rsidRDefault="00170FDC">
      <w:pPr>
        <w:pStyle w:val="Zkladntext"/>
      </w:pPr>
      <w:r>
        <w:rPr>
          <w:b/>
          <w:sz w:val="22"/>
          <w:szCs w:val="22"/>
        </w:rPr>
        <w:t>V.  Smluvní pokuty</w:t>
      </w:r>
    </w:p>
    <w:p w:rsidR="00170FDC" w:rsidRDefault="00170FDC">
      <w:pPr>
        <w:pStyle w:val="Zkladntext"/>
        <w:rPr>
          <w:b/>
          <w:sz w:val="22"/>
          <w:szCs w:val="22"/>
        </w:rPr>
      </w:pPr>
    </w:p>
    <w:p w:rsidR="00170FDC" w:rsidRDefault="00170FDC">
      <w:pPr>
        <w:pStyle w:val="Zkladntext"/>
        <w:numPr>
          <w:ilvl w:val="0"/>
          <w:numId w:val="6"/>
        </w:numPr>
      </w:pPr>
      <w:r>
        <w:rPr>
          <w:sz w:val="22"/>
          <w:szCs w:val="22"/>
        </w:rPr>
        <w:t xml:space="preserve">Bude-li nájemce v prodlení s vrácením předmětu nájmu (či jeho části) ve stanovené době dle této smlouvy, je povinen uhradit pronajímateli smluvní pokutu ve výši </w:t>
      </w:r>
      <w:r>
        <w:rPr>
          <w:sz w:val="22"/>
          <w:szCs w:val="22"/>
          <w:lang w:val="cs-CZ"/>
        </w:rPr>
        <w:t>1</w:t>
      </w:r>
      <w:r>
        <w:rPr>
          <w:sz w:val="22"/>
          <w:szCs w:val="22"/>
        </w:rPr>
        <w:t>.000,- Kč, a to za každý den prodlení s vrácením předmětu nájmu (či jeho části) až do doby vrácení předmětu nájmu (či jeho části).</w:t>
      </w:r>
    </w:p>
    <w:p w:rsidR="00170FDC" w:rsidRDefault="00170FDC">
      <w:pPr>
        <w:pStyle w:val="Zkladntext"/>
        <w:numPr>
          <w:ilvl w:val="0"/>
          <w:numId w:val="6"/>
        </w:numPr>
      </w:pPr>
      <w:r>
        <w:rPr>
          <w:sz w:val="22"/>
          <w:szCs w:val="22"/>
        </w:rPr>
        <w:t xml:space="preserve">Bude-li nájemce v prodlení s úhradou faktury, bude pronajímatel účtovat úrok z prodlení ve výši stanovené nařízením vlády č. 351/2013 Sb. z dlužné částky za každý i započatý den prodlení. </w:t>
      </w:r>
    </w:p>
    <w:p w:rsidR="00170FDC" w:rsidRDefault="00170FDC">
      <w:pPr>
        <w:pStyle w:val="Zkladntext"/>
        <w:numPr>
          <w:ilvl w:val="0"/>
          <w:numId w:val="6"/>
        </w:numPr>
      </w:pPr>
      <w:r>
        <w:rPr>
          <w:sz w:val="22"/>
          <w:szCs w:val="22"/>
        </w:rPr>
        <w:lastRenderedPageBreak/>
        <w:t>Zaplacením smluvní pokuty a úroku z prodlení není dotčeno právo oprávněné strany na náhradu škody vzniklé v příčinné souvislosti s porušením smluvní povinnosti, za jejíž nedodržení jsou smluvní pokuta nebo úrok z prodlení vymáhány a účtovány.</w:t>
      </w:r>
    </w:p>
    <w:p w:rsidR="00170FDC" w:rsidRDefault="00170FDC">
      <w:pPr>
        <w:pStyle w:val="Zkladntext"/>
      </w:pPr>
    </w:p>
    <w:p w:rsidR="00170FDC" w:rsidRDefault="00170FDC">
      <w:pPr>
        <w:pStyle w:val="Zkladntext"/>
        <w:rPr>
          <w:sz w:val="22"/>
          <w:szCs w:val="22"/>
        </w:rPr>
      </w:pPr>
    </w:p>
    <w:p w:rsidR="00170FDC" w:rsidRDefault="00170FDC">
      <w:pPr>
        <w:pStyle w:val="Zkladntext"/>
        <w:rPr>
          <w:sz w:val="22"/>
          <w:szCs w:val="22"/>
        </w:rPr>
      </w:pPr>
    </w:p>
    <w:p w:rsidR="00170FDC" w:rsidRDefault="00170FDC">
      <w:pPr>
        <w:pStyle w:val="Zkladntext"/>
        <w:keepNext/>
      </w:pPr>
      <w:r>
        <w:rPr>
          <w:b/>
          <w:sz w:val="22"/>
          <w:szCs w:val="22"/>
        </w:rPr>
        <w:t>VI.   Závěrečná ustanovení</w:t>
      </w:r>
    </w:p>
    <w:p w:rsidR="00170FDC" w:rsidRDefault="00170FDC">
      <w:pPr>
        <w:pStyle w:val="Zkladntext"/>
        <w:keepNext/>
        <w:rPr>
          <w:b/>
          <w:sz w:val="22"/>
          <w:szCs w:val="22"/>
        </w:rPr>
      </w:pPr>
    </w:p>
    <w:p w:rsidR="00170FDC" w:rsidRDefault="00170FDC">
      <w:pPr>
        <w:pStyle w:val="Zkladntext"/>
        <w:keepNext/>
        <w:numPr>
          <w:ilvl w:val="0"/>
          <w:numId w:val="3"/>
        </w:numPr>
        <w:tabs>
          <w:tab w:val="left" w:pos="426"/>
        </w:tabs>
        <w:ind w:left="426" w:hanging="426"/>
      </w:pPr>
      <w:r>
        <w:rPr>
          <w:sz w:val="22"/>
          <w:szCs w:val="22"/>
        </w:rPr>
        <w:t xml:space="preserve">Odpovědnost za nesplnění některého bodu této smlouvy a případný vznik a náhrada škody se řídí obecně závaznými předpisy platnými v době porušení povinností. </w:t>
      </w:r>
    </w:p>
    <w:p w:rsidR="00170FDC" w:rsidRDefault="00170FDC">
      <w:pPr>
        <w:pStyle w:val="Zkladntext"/>
        <w:numPr>
          <w:ilvl w:val="0"/>
          <w:numId w:val="3"/>
        </w:numPr>
        <w:tabs>
          <w:tab w:val="left" w:pos="360"/>
          <w:tab w:val="left" w:pos="426"/>
        </w:tabs>
        <w:ind w:left="426" w:hanging="426"/>
      </w:pPr>
      <w:r>
        <w:rPr>
          <w:sz w:val="22"/>
          <w:szCs w:val="22"/>
        </w:rPr>
        <w:t>Tato smlouva je vyhotovena ve dvou stejnopisech, z nichž každá smluvní strana obdrží jeden originál.</w:t>
      </w:r>
    </w:p>
    <w:p w:rsidR="00170FDC" w:rsidRDefault="00170FDC">
      <w:pPr>
        <w:pStyle w:val="Zkladntext"/>
        <w:numPr>
          <w:ilvl w:val="0"/>
          <w:numId w:val="3"/>
        </w:numPr>
        <w:tabs>
          <w:tab w:val="left" w:pos="360"/>
          <w:tab w:val="left" w:pos="426"/>
        </w:tabs>
        <w:ind w:left="426" w:hanging="426"/>
      </w:pPr>
      <w:r>
        <w:rPr>
          <w:sz w:val="22"/>
          <w:szCs w:val="22"/>
        </w:rPr>
        <w:t>Tato smlouva nabývá platnosti dnem jejího podpisu oběma smluvními stranami a účinnosti dnem jejího uveřejnění v registru smluv dle zákona č. 340/2015 Sb.</w:t>
      </w:r>
    </w:p>
    <w:p w:rsidR="00170FDC" w:rsidRDefault="00170FDC">
      <w:pPr>
        <w:pStyle w:val="Zkladntext"/>
        <w:numPr>
          <w:ilvl w:val="0"/>
          <w:numId w:val="3"/>
        </w:numPr>
        <w:tabs>
          <w:tab w:val="left" w:pos="360"/>
          <w:tab w:val="left" w:pos="426"/>
        </w:tabs>
        <w:ind w:left="426" w:hanging="426"/>
      </w:pPr>
      <w:r>
        <w:rPr>
          <w:sz w:val="22"/>
          <w:szCs w:val="22"/>
        </w:rPr>
        <w:t>Veškeré změny a dodatky k této smlouvě mohou být sjednány pouze po vzájemné dohodě a to jen písemnou formou.</w:t>
      </w:r>
    </w:p>
    <w:p w:rsidR="00170FDC" w:rsidRDefault="00170FDC">
      <w:pPr>
        <w:pStyle w:val="Zkladntext"/>
        <w:numPr>
          <w:ilvl w:val="0"/>
          <w:numId w:val="3"/>
        </w:numPr>
        <w:tabs>
          <w:tab w:val="left" w:pos="360"/>
          <w:tab w:val="left" w:pos="426"/>
        </w:tabs>
        <w:ind w:left="426" w:hanging="426"/>
      </w:pPr>
      <w:r>
        <w:rPr>
          <w:sz w:val="22"/>
          <w:szCs w:val="22"/>
        </w:rPr>
        <w:t>Práva a povinnosti vyplývající z této smlouvy se řídí občanským zákoníkem č. 89/2012 Sb. Smluvní strany vylučují použití ustanovení § 1740 odst. 3 Občanského zákoníku, které stanoví, že smlouva je uzavřena i tehdy, kdy nedojde k úplné shodě projevů vůle stran.</w:t>
      </w:r>
      <w:r>
        <w:t xml:space="preserve"> </w:t>
      </w:r>
      <w:r>
        <w:rPr>
          <w:sz w:val="22"/>
          <w:szCs w:val="22"/>
        </w:rPr>
        <w:t xml:space="preserve">Smluvní strany se dohodly, že na smluvní vztah uzavřený mezi nimi na základě této nájemní smlouvy se neuplatní ustanovení § 1765 a § 1766 občanského zákoníku o možnosti smluvní strany domáhat se vůči druhé straně obnovení jednání o smlouvě při podstatné změně okolností a dále § 2230 o užívání předmětu nájmu i po uplynutí nájemní doby. </w:t>
      </w:r>
    </w:p>
    <w:p w:rsidR="00170FDC" w:rsidRDefault="00170FDC">
      <w:pPr>
        <w:pStyle w:val="Zkladntext"/>
        <w:tabs>
          <w:tab w:val="left" w:pos="360"/>
          <w:tab w:val="left" w:pos="426"/>
        </w:tabs>
        <w:ind w:left="720"/>
      </w:pPr>
    </w:p>
    <w:p w:rsidR="00170FDC" w:rsidRDefault="00170FDC">
      <w:pPr>
        <w:pStyle w:val="Zkladntext"/>
        <w:tabs>
          <w:tab w:val="left" w:pos="426"/>
        </w:tabs>
        <w:rPr>
          <w:sz w:val="22"/>
          <w:szCs w:val="22"/>
        </w:rPr>
      </w:pPr>
    </w:p>
    <w:p w:rsidR="00170FDC" w:rsidRDefault="00170FDC">
      <w:pPr>
        <w:pStyle w:val="Zkladntext"/>
      </w:pPr>
      <w:r>
        <w:rPr>
          <w:sz w:val="22"/>
          <w:szCs w:val="22"/>
        </w:rPr>
        <w:t xml:space="preserve">V </w:t>
      </w:r>
      <w:r>
        <w:rPr>
          <w:sz w:val="22"/>
          <w:szCs w:val="22"/>
          <w:lang w:val="cs-CZ"/>
        </w:rPr>
        <w:t>Plzni</w:t>
      </w:r>
      <w:r>
        <w:rPr>
          <w:sz w:val="22"/>
          <w:szCs w:val="22"/>
        </w:rPr>
        <w:t>, dne: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V Praze, dne: </w:t>
      </w:r>
    </w:p>
    <w:p w:rsidR="00170FDC" w:rsidRDefault="00170FDC">
      <w:pPr>
        <w:pStyle w:val="Zkladntext"/>
        <w:rPr>
          <w:sz w:val="22"/>
          <w:szCs w:val="22"/>
        </w:rPr>
      </w:pPr>
    </w:p>
    <w:p w:rsidR="00170FDC" w:rsidRDefault="00170FDC">
      <w:pPr>
        <w:pStyle w:val="Zkladntext"/>
        <w:rPr>
          <w:sz w:val="22"/>
          <w:szCs w:val="22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170FDC">
        <w:tc>
          <w:tcPr>
            <w:tcW w:w="4606" w:type="dxa"/>
            <w:shd w:val="clear" w:color="auto" w:fill="auto"/>
          </w:tcPr>
          <w:p w:rsidR="00170FDC" w:rsidRDefault="00170FDC">
            <w:pPr>
              <w:pStyle w:val="Zkladntext"/>
            </w:pPr>
            <w:r>
              <w:rPr>
                <w:sz w:val="22"/>
                <w:szCs w:val="22"/>
                <w:lang w:val="cs-CZ" w:eastAsia="cs-CZ"/>
              </w:rPr>
              <w:t>……………………………………</w:t>
            </w:r>
          </w:p>
          <w:p w:rsidR="00170FDC" w:rsidRDefault="00170FDC">
            <w:pPr>
              <w:pStyle w:val="Zkladntext"/>
              <w:rPr>
                <w:sz w:val="22"/>
                <w:szCs w:val="22"/>
                <w:lang w:val="cs-CZ" w:eastAsia="cs-CZ"/>
              </w:rPr>
            </w:pPr>
          </w:p>
        </w:tc>
        <w:tc>
          <w:tcPr>
            <w:tcW w:w="4606" w:type="dxa"/>
            <w:shd w:val="clear" w:color="auto" w:fill="auto"/>
          </w:tcPr>
          <w:p w:rsidR="00170FDC" w:rsidRDefault="00170FDC">
            <w:pPr>
              <w:pStyle w:val="Zkladntext"/>
            </w:pPr>
            <w:r>
              <w:rPr>
                <w:sz w:val="22"/>
                <w:szCs w:val="22"/>
                <w:lang w:val="cs-CZ" w:eastAsia="cs-CZ"/>
              </w:rPr>
              <w:t>…………………………………………</w:t>
            </w:r>
          </w:p>
        </w:tc>
      </w:tr>
      <w:tr w:rsidR="00170FDC">
        <w:tc>
          <w:tcPr>
            <w:tcW w:w="4606" w:type="dxa"/>
            <w:shd w:val="clear" w:color="auto" w:fill="auto"/>
          </w:tcPr>
          <w:p w:rsidR="00170FDC" w:rsidRDefault="00170FDC">
            <w:pPr>
              <w:pStyle w:val="Zkladntext"/>
            </w:pPr>
            <w:r>
              <w:rPr>
                <w:bCs/>
                <w:sz w:val="22"/>
                <w:lang w:val="cs-CZ" w:eastAsia="cs-CZ"/>
              </w:rPr>
              <w:t xml:space="preserve">Za </w:t>
            </w:r>
            <w:r>
              <w:rPr>
                <w:sz w:val="22"/>
                <w:szCs w:val="22"/>
                <w:lang w:val="cs-CZ"/>
              </w:rPr>
              <w:t>Divadlo Josefa Kajetána Tyla</w:t>
            </w:r>
            <w:r>
              <w:rPr>
                <w:sz w:val="22"/>
                <w:szCs w:val="22"/>
              </w:rPr>
              <w:t xml:space="preserve">, p. </w:t>
            </w:r>
            <w:r>
              <w:rPr>
                <w:sz w:val="22"/>
                <w:szCs w:val="22"/>
                <w:lang w:val="cs-CZ"/>
              </w:rPr>
              <w:t>o.</w:t>
            </w:r>
          </w:p>
          <w:p w:rsidR="00170FDC" w:rsidRDefault="00170FDC">
            <w:pPr>
              <w:pStyle w:val="Zkladntext"/>
            </w:pPr>
            <w:r>
              <w:rPr>
                <w:bCs/>
                <w:sz w:val="22"/>
                <w:lang w:val="cs-CZ" w:eastAsia="cs-CZ"/>
              </w:rPr>
              <w:t>doc. MgA. Martin Otava, Ph.D.</w:t>
            </w:r>
          </w:p>
        </w:tc>
        <w:tc>
          <w:tcPr>
            <w:tcW w:w="4606" w:type="dxa"/>
            <w:shd w:val="clear" w:color="auto" w:fill="auto"/>
          </w:tcPr>
          <w:p w:rsidR="00170FDC" w:rsidRDefault="00170FDC">
            <w:pPr>
              <w:pStyle w:val="Zkladntext"/>
            </w:pPr>
            <w:r>
              <w:rPr>
                <w:sz w:val="22"/>
                <w:szCs w:val="22"/>
                <w:lang w:val="cs-CZ" w:eastAsia="cs-CZ"/>
              </w:rPr>
              <w:t>Za Národní divadlo</w:t>
            </w:r>
          </w:p>
          <w:p w:rsidR="00170FDC" w:rsidRDefault="009A59DE">
            <w:pPr>
              <w:pStyle w:val="Zkladntext"/>
            </w:pPr>
            <w:r w:rsidRPr="009A59DE">
              <w:rPr>
                <w:rFonts w:cs="Arial"/>
                <w:sz w:val="22"/>
                <w:szCs w:val="22"/>
                <w:lang w:val="cs-CZ" w:eastAsia="cs-CZ"/>
              </w:rPr>
              <w:t>Filip Barankiewicz, umělecký ředitel Baletu</w:t>
            </w:r>
          </w:p>
        </w:tc>
      </w:tr>
    </w:tbl>
    <w:p w:rsidR="00170FDC" w:rsidRDefault="00170FDC">
      <w:pPr>
        <w:pStyle w:val="Zkladntext"/>
        <w:rPr>
          <w:sz w:val="22"/>
          <w:szCs w:val="22"/>
        </w:rPr>
      </w:pPr>
    </w:p>
    <w:sectPr w:rsidR="00170FDC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  <w:lang w:val="cs-CZ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  <w:sz w:val="22"/>
        <w:szCs w:val="22"/>
        <w:lang w:val="cs-CZ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2"/>
        <w:szCs w:val="22"/>
        <w:lang w:val="cs-CZ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2"/>
        <w:szCs w:val="22"/>
        <w:lang w:val="cs-CZ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  <w:sz w:val="22"/>
        <w:szCs w:val="22"/>
        <w:lang w:val="cs-CZ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2"/>
        <w:szCs w:val="22"/>
        <w:lang w:val="cs-CZ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2"/>
        <w:szCs w:val="22"/>
        <w:lang w:val="cs-CZ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  <w:sz w:val="22"/>
        <w:szCs w:val="22"/>
        <w:lang w:val="cs-CZ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cs-CZ"/>
      </w:rPr>
    </w:lvl>
  </w:abstractNum>
  <w:abstractNum w:abstractNumId="4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cs-CZ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4D"/>
    <w:rsid w:val="001009FE"/>
    <w:rsid w:val="00170FDC"/>
    <w:rsid w:val="005F0705"/>
    <w:rsid w:val="006B1643"/>
    <w:rsid w:val="0093344D"/>
    <w:rsid w:val="009A59DE"/>
    <w:rsid w:val="009F574D"/>
    <w:rsid w:val="00FD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2F8E0A"/>
  <w15:chartTrackingRefBased/>
  <w15:docId w15:val="{A9E93252-5673-4148-A36A-E01BE8A8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Arial Narrow" w:hAnsi="Arial Narrow" w:cs="Arial Narrow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lang w:val="x-non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2z0">
    <w:name w:val="WW8Num2z0"/>
    <w:rPr>
      <w:rFonts w:cs="Times New Roman" w:hint="default"/>
      <w:b w:val="0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5z0">
    <w:name w:val="WW8Num5z0"/>
    <w:rPr>
      <w:rFonts w:ascii="Arial Narrow" w:hAnsi="Arial Narrow" w:cs="Times New Roman" w:hint="default"/>
      <w:sz w:val="24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  <w:rPr>
      <w:rFonts w:cs="Times New Roman" w:hint="default"/>
    </w:rPr>
  </w:style>
  <w:style w:type="character" w:customStyle="1" w:styleId="WW8Num7z0">
    <w:name w:val="WW8Num7z0"/>
    <w:rPr>
      <w:rFonts w:cs="Times New Roman" w:hint="default"/>
      <w:sz w:val="22"/>
      <w:szCs w:val="22"/>
      <w:lang w:val="cs-CZ"/>
    </w:rPr>
  </w:style>
  <w:style w:type="character" w:customStyle="1" w:styleId="WW8Num7z1">
    <w:name w:val="WW8Num7z1"/>
    <w:rPr>
      <w:rFonts w:cs="Times New Roman" w:hint="default"/>
      <w:b/>
      <w:color w:val="auto"/>
      <w:sz w:val="22"/>
      <w:szCs w:val="22"/>
    </w:rPr>
  </w:style>
  <w:style w:type="character" w:customStyle="1" w:styleId="WW8Num8z0">
    <w:name w:val="WW8Num8z0"/>
    <w:rPr>
      <w:rFonts w:cs="Times New Roman" w:hint="default"/>
    </w:rPr>
  </w:style>
  <w:style w:type="character" w:customStyle="1" w:styleId="WW8Num9z0">
    <w:name w:val="WW8Num9z0"/>
    <w:rPr>
      <w:rFonts w:cs="Times New Roman" w:hint="default"/>
    </w:rPr>
  </w:style>
  <w:style w:type="character" w:customStyle="1" w:styleId="WW8Num10z0">
    <w:name w:val="WW8Num10z0"/>
    <w:rPr>
      <w:rFonts w:cs="Times New Roman" w:hint="default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 w:hint="default"/>
      <w:b w:val="0"/>
    </w:rPr>
  </w:style>
  <w:style w:type="character" w:customStyle="1" w:styleId="WW8Num11z1">
    <w:name w:val="WW8Num11z1"/>
    <w:rPr>
      <w:rFonts w:cs="Times New Roman" w:hint="default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7z0">
    <w:name w:val="WW8Num17z0"/>
    <w:rPr>
      <w:rFonts w:ascii="Symbol" w:hAnsi="Symbol" w:cs="Symbol" w:hint="default"/>
      <w:sz w:val="22"/>
      <w:szCs w:val="22"/>
      <w:lang w:val="cs-CZ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cs="Times New Roman"/>
      <w:sz w:val="22"/>
      <w:szCs w:val="22"/>
    </w:rPr>
  </w:style>
  <w:style w:type="character" w:customStyle="1" w:styleId="WW8Num19z0">
    <w:name w:val="WW8Num19z0"/>
    <w:rPr>
      <w:rFonts w:cs="Arial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 w:hint="default"/>
    </w:rPr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2z0">
    <w:name w:val="WW8Num22z0"/>
    <w:rPr>
      <w:rFonts w:ascii="Arial Narrow" w:eastAsia="Times New Roman" w:hAnsi="Arial Narrow" w:cs="Arial Narrow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cs="Times New Roman" w:hint="default"/>
    </w:rPr>
  </w:style>
  <w:style w:type="character" w:customStyle="1" w:styleId="WW8Num23z2">
    <w:name w:val="WW8Num23z2"/>
    <w:rPr>
      <w:rFonts w:cs="Times New Roman"/>
    </w:rPr>
  </w:style>
  <w:style w:type="character" w:customStyle="1" w:styleId="WW8Num24z0">
    <w:name w:val="WW8Num24z0"/>
    <w:rPr>
      <w:rFonts w:cs="Times New Roman"/>
      <w:sz w:val="22"/>
      <w:szCs w:val="22"/>
    </w:rPr>
  </w:style>
  <w:style w:type="character" w:customStyle="1" w:styleId="WW8Num25z0">
    <w:name w:val="WW8Num25z0"/>
    <w:rPr>
      <w:rFonts w:cs="Times New Roman" w:hint="default"/>
    </w:rPr>
  </w:style>
  <w:style w:type="character" w:customStyle="1" w:styleId="WW8Num26z0">
    <w:name w:val="WW8Num26z0"/>
    <w:rPr>
      <w:rFonts w:cs="Times New Roman" w:hint="default"/>
    </w:rPr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8z0">
    <w:name w:val="WW8Num28z0"/>
    <w:rPr>
      <w:rFonts w:cs="Times New Roman" w:hint="default"/>
    </w:rPr>
  </w:style>
  <w:style w:type="character" w:customStyle="1" w:styleId="WW8Num29z0">
    <w:name w:val="WW8Num29z0"/>
    <w:rPr>
      <w:rFonts w:cs="Times New Roman" w:hint="default"/>
    </w:rPr>
  </w:style>
  <w:style w:type="character" w:customStyle="1" w:styleId="WW8Num30z0">
    <w:name w:val="WW8Num30z0"/>
    <w:rPr>
      <w:rFonts w:ascii="Arial Narrow" w:hAnsi="Arial Narrow" w:cs="Times New Roman" w:hint="default"/>
      <w:sz w:val="24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cs="Times New Roman" w:hint="default"/>
    </w:rPr>
  </w:style>
  <w:style w:type="character" w:customStyle="1" w:styleId="WW8Num32z0">
    <w:name w:val="WW8Num32z0"/>
    <w:rPr>
      <w:rFonts w:cs="Times New Roman" w:hint="default"/>
    </w:rPr>
  </w:style>
  <w:style w:type="character" w:customStyle="1" w:styleId="WW8Num33z0">
    <w:name w:val="WW8Num33z0"/>
    <w:rPr>
      <w:rFonts w:cs="Times New Roman" w:hint="default"/>
    </w:rPr>
  </w:style>
  <w:style w:type="character" w:customStyle="1" w:styleId="WW8Num34z0">
    <w:name w:val="WW8Num34z0"/>
    <w:rPr>
      <w:rFonts w:ascii="Symbol" w:hAnsi="Symbol" w:cs="Symbol" w:hint="default"/>
      <w:sz w:val="22"/>
      <w:szCs w:val="22"/>
      <w:lang w:val="cs-CZ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cs="Times New Roman" w:hint="default"/>
    </w:rPr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7z0">
    <w:name w:val="WW8Num37z0"/>
    <w:rPr>
      <w:rFonts w:cs="Times New Roman" w:hint="default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Arial Narrow" w:hAnsi="Arial Narrow" w:cs="Times New Roman"/>
      <w:sz w:val="24"/>
      <w:szCs w:val="24"/>
    </w:rPr>
  </w:style>
  <w:style w:type="character" w:customStyle="1" w:styleId="Nadpis2Char">
    <w:name w:val="Nadpis 2 Char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kladntextChar">
    <w:name w:val="Základní text Char"/>
    <w:rPr>
      <w:rFonts w:ascii="Arial Narrow" w:hAnsi="Arial Narrow" w:cs="Times New Roman"/>
      <w:sz w:val="24"/>
      <w:szCs w:val="24"/>
    </w:rPr>
  </w:style>
  <w:style w:type="character" w:customStyle="1" w:styleId="ZkladntextodsazenChar">
    <w:name w:val="Základní text odsazený Char"/>
    <w:rPr>
      <w:rFonts w:ascii="Arial Narrow" w:hAnsi="Arial Narrow" w:cs="Times New Roman"/>
      <w:sz w:val="24"/>
      <w:szCs w:val="24"/>
    </w:rPr>
  </w:style>
  <w:style w:type="character" w:customStyle="1" w:styleId="platne1">
    <w:name w:val="platne1"/>
    <w:rPr>
      <w:rFonts w:cs="Times New Roman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qFormat/>
    <w:rPr>
      <w:rFonts w:cs="Times New Roman"/>
      <w:b/>
      <w:bCs/>
    </w:rPr>
  </w:style>
  <w:style w:type="character" w:customStyle="1" w:styleId="ZhlavChar">
    <w:name w:val="Záhlaví Char"/>
    <w:rPr>
      <w:rFonts w:ascii="Arial Narrow" w:hAnsi="Arial Narrow" w:cs="Times New Roman"/>
      <w:sz w:val="24"/>
      <w:szCs w:val="24"/>
    </w:rPr>
  </w:style>
  <w:style w:type="character" w:customStyle="1" w:styleId="ZpatChar">
    <w:name w:val="Zápatí Char"/>
    <w:rPr>
      <w:rFonts w:ascii="Arial Narrow" w:hAnsi="Arial Narrow" w:cs="Times New Roman"/>
      <w:sz w:val="24"/>
      <w:szCs w:val="24"/>
    </w:rPr>
  </w:style>
  <w:style w:type="character" w:customStyle="1" w:styleId="Odkaznakoment1">
    <w:name w:val="Odkaz na komentář1"/>
    <w:rPr>
      <w:rFonts w:cs="Times New Roman"/>
      <w:sz w:val="16"/>
      <w:szCs w:val="16"/>
    </w:rPr>
  </w:style>
  <w:style w:type="character" w:customStyle="1" w:styleId="TextkomenteChar">
    <w:name w:val="Text komentáře Char"/>
    <w:rPr>
      <w:rFonts w:ascii="Arial Narrow" w:hAnsi="Arial Narrow" w:cs="Times New Roman"/>
      <w:sz w:val="20"/>
      <w:szCs w:val="20"/>
    </w:rPr>
  </w:style>
  <w:style w:type="character" w:customStyle="1" w:styleId="PedmtkomenteChar">
    <w:name w:val="Předmět komentáře Char"/>
    <w:rPr>
      <w:rFonts w:ascii="Arial Narrow" w:hAnsi="Arial Narrow" w:cs="Times New Roman"/>
      <w:b/>
      <w:bCs/>
      <w:sz w:val="20"/>
      <w:szCs w:val="20"/>
    </w:rPr>
  </w:style>
  <w:style w:type="character" w:styleId="Hypertextovodkaz">
    <w:name w:val="Hyperlink"/>
    <w:rPr>
      <w:color w:val="0563C1"/>
      <w:u w:val="single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jc w:val="both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360"/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Revize">
    <w:name w:val="Revision"/>
    <w:pPr>
      <w:suppressAutoHyphens/>
    </w:pPr>
    <w:rPr>
      <w:rFonts w:ascii="Arial Narrow" w:hAnsi="Arial Narrow" w:cs="Arial Narrow"/>
      <w:sz w:val="24"/>
      <w:szCs w:val="24"/>
      <w:lang w:eastAsia="zh-CN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A59D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A59DE"/>
    <w:rPr>
      <w:rFonts w:ascii="Arial Narrow" w:hAnsi="Arial Narrow" w:cs="Arial Narrow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erina.konigova@djkt.eu" TargetMode="External"/><Relationship Id="rId5" Type="http://schemas.openxmlformats.org/officeDocument/2006/relationships/hyperlink" Target="mailto:p.tollar@narodni-divadl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1057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Pronajímatel:</vt:lpstr>
    </vt:vector>
  </TitlesOfParts>
  <Company>HP Inc.</Company>
  <LinksUpToDate>false</LinksUpToDate>
  <CharactersWithSpaces>7283</CharactersWithSpaces>
  <SharedDoc>false</SharedDoc>
  <HLinks>
    <vt:vector size="12" baseType="variant">
      <vt:variant>
        <vt:i4>1245289</vt:i4>
      </vt:variant>
      <vt:variant>
        <vt:i4>3</vt:i4>
      </vt:variant>
      <vt:variant>
        <vt:i4>0</vt:i4>
      </vt:variant>
      <vt:variant>
        <vt:i4>5</vt:i4>
      </vt:variant>
      <vt:variant>
        <vt:lpwstr>mailto:katerina.konigova@djkt.eu</vt:lpwstr>
      </vt:variant>
      <vt:variant>
        <vt:lpwstr/>
      </vt:variant>
      <vt:variant>
        <vt:i4>5636222</vt:i4>
      </vt:variant>
      <vt:variant>
        <vt:i4>0</vt:i4>
      </vt:variant>
      <vt:variant>
        <vt:i4>0</vt:i4>
      </vt:variant>
      <vt:variant>
        <vt:i4>5</vt:i4>
      </vt:variant>
      <vt:variant>
        <vt:lpwstr>mailto:p.tollar@narodni-divadlo.cz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Pronajímatel:</dc:title>
  <dc:subject/>
  <dc:creator>Národní divadlo v Praze</dc:creator>
  <cp:keywords/>
  <cp:lastModifiedBy>Šindelářová (Bernášková) Markéta</cp:lastModifiedBy>
  <cp:revision>3</cp:revision>
  <cp:lastPrinted>2022-11-08T09:13:00Z</cp:lastPrinted>
  <dcterms:created xsi:type="dcterms:W3CDTF">2022-12-13T12:42:00Z</dcterms:created>
  <dcterms:modified xsi:type="dcterms:W3CDTF">2022-12-13T12:43:00Z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81ac557dbfa2dbc9d7f3ab8d4c751a86f25b1b1b8d4dc925ba643839448903d1</vt:lpwstr>
  </property>
</Properties>
</file>