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F00475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27AB0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627AB0">
              <w:rPr>
                <w:rFonts w:cstheme="minorHAnsi"/>
                <w:sz w:val="24"/>
                <w:szCs w:val="24"/>
              </w:rPr>
              <w:t>1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12.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F004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F00475">
              <w:rPr>
                <w:rFonts w:cstheme="minorHAnsi"/>
                <w:b/>
                <w:sz w:val="24"/>
                <w:szCs w:val="24"/>
              </w:rPr>
              <w:t>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00475">
              <w:rPr>
                <w:rFonts w:cstheme="minorHAnsi"/>
                <w:b/>
                <w:sz w:val="24"/>
                <w:szCs w:val="24"/>
              </w:rPr>
              <w:t>XXXXXXXXXX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Olepení a zakrytí před malbami 912 m²  x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5,75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 244</w:t>
            </w:r>
            <w:r w:rsidRPr="008F5D31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8F5D31">
              <w:rPr>
                <w:rFonts w:cstheme="minorHAnsi"/>
                <w:b/>
                <w:sz w:val="24"/>
                <w:szCs w:val="24"/>
              </w:rPr>
              <w:t>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Oškrábání maleb 190 m² x 15,00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17,25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3 277,50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111 m² x 35,00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40,25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4 467,75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Vyspravení omítek malířskou stěrkou 102 m²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5,75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586,50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Malba bílá disperzní 1426 m² 25,00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28,75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40 997,50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Malba tónovaná disperzní 398 m² 28,00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32,20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12 815,60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D5BA1" w:rsidRPr="009D5BA1">
              <w:rPr>
                <w:rFonts w:cstheme="minorHAnsi"/>
                <w:b/>
                <w:sz w:val="24"/>
                <w:szCs w:val="24"/>
              </w:rPr>
              <w:t>67 388,85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1C614F">
              <w:rPr>
                <w:rFonts w:cstheme="minorHAnsi"/>
                <w:sz w:val="24"/>
                <w:szCs w:val="24"/>
              </w:rPr>
              <w:t>Kč</w:t>
            </w:r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395AC8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395AC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95AC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395AC8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BE93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33</cp:revision>
  <cp:lastPrinted>2022-05-06T08:40:00Z</cp:lastPrinted>
  <dcterms:created xsi:type="dcterms:W3CDTF">2020-09-29T08:15:00Z</dcterms:created>
  <dcterms:modified xsi:type="dcterms:W3CDTF">2022-12-14T09:14:00Z</dcterms:modified>
</cp:coreProperties>
</file>