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A875" w14:textId="77777777" w:rsidR="00C86CF0" w:rsidRDefault="00C86CF0" w:rsidP="00C957C1">
      <w:pPr>
        <w:pStyle w:val="Nzev"/>
        <w:rPr>
          <w:rFonts w:ascii="Arial" w:hAnsi="Arial" w:cs="Arial"/>
          <w:szCs w:val="28"/>
        </w:rPr>
      </w:pPr>
    </w:p>
    <w:p w14:paraId="41E5913B" w14:textId="4F785D2D" w:rsidR="001E1ADB" w:rsidRPr="00FD733C" w:rsidRDefault="007B2ED6" w:rsidP="001E1ADB">
      <w:pPr>
        <w:jc w:val="center"/>
        <w:rPr>
          <w:rFonts w:ascii="Arial" w:hAnsi="Arial" w:cs="Arial"/>
          <w:b/>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FD733C" w:rsidRPr="00FD733C">
        <w:rPr>
          <w:rFonts w:ascii="Arial" w:hAnsi="Arial" w:cs="Arial"/>
          <w:b/>
          <w:sz w:val="32"/>
          <w:szCs w:val="32"/>
        </w:rPr>
        <w:t>OR/22/5</w:t>
      </w:r>
    </w:p>
    <w:p w14:paraId="1F0160AC" w14:textId="77777777" w:rsidR="00ED055F" w:rsidRPr="007A191E" w:rsidRDefault="00ED055F" w:rsidP="006D7F79">
      <w:pPr>
        <w:rPr>
          <w:rFonts w:ascii="Arial" w:hAnsi="Arial" w:cs="Arial"/>
          <w:sz w:val="22"/>
          <w:szCs w:val="22"/>
        </w:rPr>
      </w:pPr>
    </w:p>
    <w:p w14:paraId="2D887C56" w14:textId="054AC71D" w:rsidR="002A3995" w:rsidRPr="0027213C" w:rsidRDefault="001E1ADB" w:rsidP="0043749B">
      <w:pPr>
        <w:jc w:val="center"/>
        <w:rPr>
          <w:rFonts w:ascii="Arial" w:hAnsi="Arial"/>
          <w:b/>
          <w:sz w:val="22"/>
          <w:u w:val="single"/>
        </w:rPr>
      </w:pPr>
      <w:r w:rsidRPr="0027213C">
        <w:rPr>
          <w:rFonts w:ascii="Arial" w:hAnsi="Arial" w:cs="Arial"/>
          <w:b/>
          <w:sz w:val="28"/>
          <w:szCs w:val="28"/>
        </w:rPr>
        <w:t>„</w:t>
      </w:r>
      <w:r w:rsidR="0043749B" w:rsidRPr="0027213C">
        <w:rPr>
          <w:rFonts w:ascii="Arial" w:hAnsi="Arial"/>
          <w:b/>
          <w:sz w:val="32"/>
          <w:szCs w:val="32"/>
        </w:rPr>
        <w:t xml:space="preserve">Technický dozor investora </w:t>
      </w:r>
      <w:r w:rsidR="0027213C" w:rsidRPr="0027213C">
        <w:rPr>
          <w:rFonts w:ascii="Arial" w:hAnsi="Arial"/>
          <w:b/>
          <w:sz w:val="32"/>
          <w:szCs w:val="32"/>
        </w:rPr>
        <w:t xml:space="preserve">a autorský dozor </w:t>
      </w:r>
      <w:r w:rsidR="0043749B" w:rsidRPr="0027213C">
        <w:rPr>
          <w:rFonts w:ascii="Arial" w:hAnsi="Arial"/>
          <w:b/>
          <w:sz w:val="32"/>
          <w:szCs w:val="32"/>
        </w:rPr>
        <w:t xml:space="preserve">při realizaci stavby </w:t>
      </w:r>
      <w:r w:rsidR="0043749B" w:rsidRPr="0027213C">
        <w:rPr>
          <w:rFonts w:ascii="Arial" w:hAnsi="Arial"/>
          <w:b/>
          <w:sz w:val="32"/>
          <w:szCs w:val="32"/>
        </w:rPr>
        <w:br/>
      </w:r>
      <w:r w:rsidR="0027213C" w:rsidRPr="0027213C">
        <w:rPr>
          <w:rFonts w:ascii="Arial" w:hAnsi="Arial"/>
          <w:b/>
          <w:sz w:val="32"/>
          <w:szCs w:val="32"/>
        </w:rPr>
        <w:t>Gymnázium Holice – rekonstrukce střechy I. etapa</w:t>
      </w:r>
      <w:r w:rsidRPr="0027213C">
        <w:rPr>
          <w:rFonts w:ascii="Arial" w:hAnsi="Arial"/>
          <w:b/>
          <w:sz w:val="28"/>
        </w:rPr>
        <w:t>“</w:t>
      </w:r>
    </w:p>
    <w:p w14:paraId="4D3B5BA7" w14:textId="77777777"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14:paraId="793800D0" w14:textId="77777777"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14:paraId="6167B7EC" w14:textId="77777777" w:rsidTr="002C71D6">
        <w:tc>
          <w:tcPr>
            <w:tcW w:w="1738" w:type="dxa"/>
            <w:shd w:val="clear" w:color="auto" w:fill="auto"/>
            <w:vAlign w:val="center"/>
          </w:tcPr>
          <w:p w14:paraId="74842205" w14:textId="77777777"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14:paraId="0C1A20C4" w14:textId="7775EBDF" w:rsidR="002C71D6" w:rsidRPr="00A94E65" w:rsidRDefault="00AC60C9" w:rsidP="002C71D6">
            <w:pPr>
              <w:numPr>
                <w:ilvl w:val="12"/>
                <w:numId w:val="0"/>
              </w:numPr>
              <w:spacing w:line="320" w:lineRule="exact"/>
              <w:rPr>
                <w:rFonts w:ascii="Arial" w:hAnsi="Arial"/>
                <w:sz w:val="22"/>
                <w:szCs w:val="22"/>
              </w:rPr>
            </w:pPr>
            <w:r>
              <w:rPr>
                <w:rFonts w:ascii="Arial" w:hAnsi="Arial"/>
                <w:b/>
                <w:sz w:val="22"/>
                <w:szCs w:val="22"/>
              </w:rPr>
              <w:t>Gymnázium Dr. Emila Holuba</w:t>
            </w:r>
          </w:p>
        </w:tc>
      </w:tr>
      <w:tr w:rsidR="002C71D6" w:rsidRPr="001E159F" w14:paraId="15139732" w14:textId="77777777" w:rsidTr="002C71D6">
        <w:trPr>
          <w:gridBefore w:val="1"/>
          <w:wBefore w:w="1738" w:type="dxa"/>
        </w:trPr>
        <w:tc>
          <w:tcPr>
            <w:tcW w:w="2798" w:type="dxa"/>
            <w:shd w:val="clear" w:color="auto" w:fill="auto"/>
          </w:tcPr>
          <w:p w14:paraId="6307C5D4" w14:textId="77777777" w:rsidR="002C71D6" w:rsidRPr="00C86CF0" w:rsidRDefault="002C71D6" w:rsidP="002C71D6">
            <w:pPr>
              <w:numPr>
                <w:ilvl w:val="12"/>
                <w:numId w:val="0"/>
              </w:numPr>
              <w:spacing w:line="320" w:lineRule="exact"/>
              <w:rPr>
                <w:rFonts w:ascii="Arial" w:hAnsi="Arial"/>
                <w:sz w:val="22"/>
                <w:szCs w:val="22"/>
              </w:rPr>
            </w:pPr>
            <w:proofErr w:type="gramStart"/>
            <w:r w:rsidRPr="00C86CF0">
              <w:rPr>
                <w:rFonts w:ascii="Arial" w:hAnsi="Arial"/>
                <w:sz w:val="22"/>
                <w:szCs w:val="22"/>
              </w:rPr>
              <w:t>Sídlo - adresa</w:t>
            </w:r>
            <w:proofErr w:type="gramEnd"/>
            <w:r w:rsidRPr="00C86CF0">
              <w:rPr>
                <w:rFonts w:ascii="Arial" w:hAnsi="Arial"/>
                <w:sz w:val="22"/>
                <w:szCs w:val="22"/>
              </w:rPr>
              <w:t>:</w:t>
            </w:r>
          </w:p>
        </w:tc>
        <w:tc>
          <w:tcPr>
            <w:tcW w:w="4820" w:type="dxa"/>
            <w:shd w:val="clear" w:color="auto" w:fill="auto"/>
          </w:tcPr>
          <w:p w14:paraId="3C3D41D7" w14:textId="59D20877" w:rsidR="002C71D6" w:rsidRPr="00C86CF0" w:rsidRDefault="00AC60C9" w:rsidP="002C71D6">
            <w:pPr>
              <w:numPr>
                <w:ilvl w:val="12"/>
                <w:numId w:val="0"/>
              </w:numPr>
              <w:spacing w:line="320" w:lineRule="exact"/>
              <w:rPr>
                <w:rFonts w:ascii="Arial" w:hAnsi="Arial"/>
                <w:sz w:val="22"/>
                <w:szCs w:val="22"/>
              </w:rPr>
            </w:pPr>
            <w:r>
              <w:rPr>
                <w:rFonts w:ascii="Arial" w:hAnsi="Arial"/>
                <w:sz w:val="22"/>
                <w:szCs w:val="22"/>
              </w:rPr>
              <w:t>Na Mušce 1110, 534 01 Holice</w:t>
            </w:r>
          </w:p>
        </w:tc>
      </w:tr>
      <w:tr w:rsidR="002C71D6" w:rsidRPr="00941488" w14:paraId="1433660E" w14:textId="77777777" w:rsidTr="002C71D6">
        <w:trPr>
          <w:gridBefore w:val="1"/>
          <w:wBefore w:w="1738" w:type="dxa"/>
        </w:trPr>
        <w:tc>
          <w:tcPr>
            <w:tcW w:w="2798" w:type="dxa"/>
            <w:shd w:val="clear" w:color="auto" w:fill="auto"/>
          </w:tcPr>
          <w:p w14:paraId="2B9C1495" w14:textId="77777777" w:rsidR="002C71D6" w:rsidRPr="00435C27" w:rsidRDefault="002C71D6" w:rsidP="00CE69E6">
            <w:pPr>
              <w:numPr>
                <w:ilvl w:val="12"/>
                <w:numId w:val="0"/>
              </w:numPr>
              <w:spacing w:after="60" w:line="320" w:lineRule="exact"/>
              <w:rPr>
                <w:rFonts w:ascii="Arial" w:hAnsi="Arial"/>
                <w:sz w:val="22"/>
                <w:szCs w:val="22"/>
              </w:rPr>
            </w:pPr>
            <w:r w:rsidRPr="00435C27">
              <w:rPr>
                <w:rFonts w:ascii="Arial" w:hAnsi="Arial"/>
                <w:sz w:val="22"/>
                <w:szCs w:val="22"/>
              </w:rPr>
              <w:t>Zastoupen:</w:t>
            </w:r>
          </w:p>
        </w:tc>
        <w:tc>
          <w:tcPr>
            <w:tcW w:w="4820" w:type="dxa"/>
            <w:shd w:val="clear" w:color="auto" w:fill="auto"/>
          </w:tcPr>
          <w:p w14:paraId="1DCE738B" w14:textId="6101951B" w:rsidR="002C71D6" w:rsidRPr="00C72FEF" w:rsidRDefault="001F544C" w:rsidP="00CE69E6">
            <w:pPr>
              <w:numPr>
                <w:ilvl w:val="12"/>
                <w:numId w:val="0"/>
              </w:numPr>
              <w:spacing w:after="60"/>
              <w:rPr>
                <w:rFonts w:ascii="Arial" w:hAnsi="Arial"/>
                <w:sz w:val="22"/>
                <w:highlight w:val="yellow"/>
              </w:rPr>
            </w:pPr>
            <w:r w:rsidRPr="00AC60C9">
              <w:rPr>
                <w:rFonts w:ascii="Arial" w:hAnsi="Arial"/>
                <w:sz w:val="22"/>
              </w:rPr>
              <w:t>Mgr</w:t>
            </w:r>
            <w:r w:rsidR="0043749B" w:rsidRPr="00AC60C9">
              <w:rPr>
                <w:rFonts w:ascii="Arial" w:hAnsi="Arial"/>
                <w:sz w:val="22"/>
              </w:rPr>
              <w:t xml:space="preserve">. </w:t>
            </w:r>
            <w:r w:rsidR="00AC60C9">
              <w:rPr>
                <w:rFonts w:ascii="Arial" w:hAnsi="Arial"/>
                <w:sz w:val="22"/>
              </w:rPr>
              <w:t>Andreou Daňkovou, ředitelkou</w:t>
            </w:r>
          </w:p>
        </w:tc>
      </w:tr>
      <w:tr w:rsidR="00841BA9" w:rsidRPr="00941488" w14:paraId="0BEBCCEB" w14:textId="77777777" w:rsidTr="002C71D6">
        <w:trPr>
          <w:gridBefore w:val="1"/>
          <w:wBefore w:w="1738" w:type="dxa"/>
          <w:trHeight w:val="520"/>
        </w:trPr>
        <w:tc>
          <w:tcPr>
            <w:tcW w:w="2798" w:type="dxa"/>
            <w:shd w:val="clear" w:color="auto" w:fill="auto"/>
            <w:vAlign w:val="center"/>
          </w:tcPr>
          <w:p w14:paraId="12DED04D" w14:textId="77777777" w:rsidR="00841BA9" w:rsidRPr="00C86CF0" w:rsidRDefault="00841BA9"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14:paraId="08E9C9B5" w14:textId="3C81ED1D" w:rsidR="00841BA9" w:rsidRPr="00C72FEF" w:rsidRDefault="00D313B7" w:rsidP="002341A0">
            <w:pPr>
              <w:numPr>
                <w:ilvl w:val="12"/>
                <w:numId w:val="0"/>
              </w:numPr>
              <w:spacing w:line="240" w:lineRule="exact"/>
              <w:ind w:right="34"/>
              <w:rPr>
                <w:rFonts w:ascii="Arial" w:hAnsi="Arial"/>
                <w:sz w:val="22"/>
                <w:highlight w:val="yellow"/>
              </w:rPr>
            </w:pPr>
            <w:r>
              <w:rPr>
                <w:rFonts w:ascii="Arial" w:hAnsi="Arial"/>
                <w:sz w:val="22"/>
              </w:rPr>
              <w:t xml:space="preserve">Mgr. Andrea Daňková, </w:t>
            </w:r>
            <w:r w:rsidR="00AC60C9">
              <w:rPr>
                <w:rFonts w:ascii="Arial" w:hAnsi="Arial"/>
                <w:sz w:val="22"/>
              </w:rPr>
              <w:t>Martin Černý</w:t>
            </w:r>
          </w:p>
        </w:tc>
      </w:tr>
      <w:tr w:rsidR="00841BA9" w:rsidRPr="00941488" w14:paraId="5D543E48" w14:textId="77777777" w:rsidTr="002C71D6">
        <w:trPr>
          <w:gridBefore w:val="1"/>
          <w:wBefore w:w="1738" w:type="dxa"/>
        </w:trPr>
        <w:tc>
          <w:tcPr>
            <w:tcW w:w="2798" w:type="dxa"/>
            <w:shd w:val="clear" w:color="auto" w:fill="auto"/>
          </w:tcPr>
          <w:p w14:paraId="702114A2" w14:textId="77777777"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IČ</w:t>
            </w:r>
            <w:r w:rsidR="007264D0">
              <w:rPr>
                <w:rFonts w:ascii="Arial" w:hAnsi="Arial"/>
                <w:sz w:val="22"/>
                <w:szCs w:val="22"/>
              </w:rPr>
              <w:t>O</w:t>
            </w:r>
            <w:r w:rsidRPr="00C86CF0">
              <w:rPr>
                <w:rFonts w:ascii="Arial" w:hAnsi="Arial"/>
                <w:sz w:val="22"/>
                <w:szCs w:val="22"/>
              </w:rPr>
              <w:t xml:space="preserve">: </w:t>
            </w:r>
          </w:p>
        </w:tc>
        <w:tc>
          <w:tcPr>
            <w:tcW w:w="4820" w:type="dxa"/>
            <w:shd w:val="clear" w:color="auto" w:fill="auto"/>
            <w:vAlign w:val="center"/>
          </w:tcPr>
          <w:p w14:paraId="40216CB5" w14:textId="5DD0F6F0" w:rsidR="00841BA9" w:rsidRPr="00C86CF0" w:rsidRDefault="00AC60C9" w:rsidP="000763DE">
            <w:pPr>
              <w:rPr>
                <w:rFonts w:ascii="Arial" w:hAnsi="Arial"/>
                <w:sz w:val="22"/>
                <w:szCs w:val="22"/>
              </w:rPr>
            </w:pPr>
            <w:r>
              <w:rPr>
                <w:rFonts w:ascii="Arial" w:hAnsi="Arial"/>
                <w:sz w:val="22"/>
                <w:szCs w:val="22"/>
              </w:rPr>
              <w:t>48161101</w:t>
            </w:r>
          </w:p>
        </w:tc>
      </w:tr>
      <w:tr w:rsidR="00841BA9" w:rsidRPr="00941488" w14:paraId="3D8D5F17" w14:textId="77777777" w:rsidTr="002C71D6">
        <w:trPr>
          <w:gridBefore w:val="1"/>
          <w:wBefore w:w="1738" w:type="dxa"/>
        </w:trPr>
        <w:tc>
          <w:tcPr>
            <w:tcW w:w="2798" w:type="dxa"/>
            <w:shd w:val="clear" w:color="auto" w:fill="auto"/>
          </w:tcPr>
          <w:p w14:paraId="03E64AE5" w14:textId="77777777" w:rsidR="00841BA9" w:rsidRPr="00C86CF0" w:rsidRDefault="00841BA9"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34D3D489" w14:textId="43A8633D" w:rsidR="00841BA9" w:rsidRPr="008C1A63" w:rsidRDefault="00841BA9" w:rsidP="000763DE">
            <w:pPr>
              <w:rPr>
                <w:sz w:val="22"/>
                <w:szCs w:val="22"/>
              </w:rPr>
            </w:pPr>
            <w:r w:rsidRPr="008C1A63">
              <w:rPr>
                <w:rFonts w:ascii="Arial" w:hAnsi="Arial"/>
                <w:sz w:val="22"/>
                <w:szCs w:val="22"/>
              </w:rPr>
              <w:t>CZ</w:t>
            </w:r>
            <w:r w:rsidR="008C1A63">
              <w:rPr>
                <w:rFonts w:ascii="Arial" w:hAnsi="Arial"/>
                <w:sz w:val="22"/>
                <w:szCs w:val="22"/>
              </w:rPr>
              <w:t>48161101</w:t>
            </w:r>
            <w:r w:rsidR="00CE69E6" w:rsidRPr="008C1A63">
              <w:rPr>
                <w:rFonts w:ascii="Arial" w:hAnsi="Arial"/>
                <w:sz w:val="22"/>
                <w:szCs w:val="22"/>
              </w:rPr>
              <w:t>,</w:t>
            </w:r>
            <w:r w:rsidRPr="008C1A63">
              <w:rPr>
                <w:rFonts w:ascii="Arial" w:hAnsi="Arial"/>
                <w:sz w:val="22"/>
                <w:szCs w:val="22"/>
              </w:rPr>
              <w:t xml:space="preserve"> </w:t>
            </w:r>
            <w:r w:rsidR="00CE69E6" w:rsidRPr="008C1A63">
              <w:rPr>
                <w:rFonts w:ascii="Arial" w:hAnsi="Arial"/>
                <w:sz w:val="22"/>
                <w:szCs w:val="22"/>
              </w:rPr>
              <w:t>neplátce DPH</w:t>
            </w:r>
          </w:p>
        </w:tc>
      </w:tr>
      <w:tr w:rsidR="00841BA9" w:rsidRPr="00941488" w14:paraId="71F6D627" w14:textId="77777777" w:rsidTr="002C71D6">
        <w:trPr>
          <w:gridBefore w:val="1"/>
          <w:wBefore w:w="1738" w:type="dxa"/>
        </w:trPr>
        <w:tc>
          <w:tcPr>
            <w:tcW w:w="2798" w:type="dxa"/>
            <w:shd w:val="clear" w:color="auto" w:fill="auto"/>
          </w:tcPr>
          <w:p w14:paraId="7385CE98" w14:textId="77777777" w:rsidR="00841BA9" w:rsidRPr="001F544C" w:rsidRDefault="00841BA9" w:rsidP="002C71D6">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14:paraId="6F5383DE" w14:textId="77777777" w:rsidR="00841BA9" w:rsidRPr="001F544C" w:rsidRDefault="00841BA9" w:rsidP="000763DE">
            <w:pPr>
              <w:numPr>
                <w:ilvl w:val="12"/>
                <w:numId w:val="0"/>
              </w:numPr>
              <w:spacing w:line="320" w:lineRule="exact"/>
              <w:jc w:val="both"/>
              <w:rPr>
                <w:rFonts w:ascii="Arial" w:hAnsi="Arial"/>
                <w:sz w:val="22"/>
                <w:szCs w:val="22"/>
              </w:rPr>
            </w:pPr>
            <w:r w:rsidRPr="00AC60C9">
              <w:rPr>
                <w:rFonts w:ascii="Arial" w:hAnsi="Arial"/>
                <w:sz w:val="22"/>
                <w:szCs w:val="22"/>
              </w:rPr>
              <w:t xml:space="preserve">ČSOB </w:t>
            </w:r>
            <w:r w:rsidR="001F544C" w:rsidRPr="00AC60C9">
              <w:rPr>
                <w:rFonts w:ascii="Arial" w:hAnsi="Arial"/>
                <w:sz w:val="22"/>
                <w:szCs w:val="22"/>
              </w:rPr>
              <w:t>a.s.</w:t>
            </w:r>
          </w:p>
        </w:tc>
      </w:tr>
      <w:tr w:rsidR="00AC60C9" w:rsidRPr="00941488" w14:paraId="4C115135" w14:textId="77777777" w:rsidTr="002C71D6">
        <w:trPr>
          <w:gridBefore w:val="1"/>
          <w:wBefore w:w="1738" w:type="dxa"/>
        </w:trPr>
        <w:tc>
          <w:tcPr>
            <w:tcW w:w="2798" w:type="dxa"/>
            <w:shd w:val="clear" w:color="auto" w:fill="auto"/>
          </w:tcPr>
          <w:p w14:paraId="258295C6" w14:textId="77777777" w:rsidR="00AC60C9" w:rsidRPr="00C86CF0" w:rsidRDefault="00AC60C9" w:rsidP="00AC60C9">
            <w:pPr>
              <w:numPr>
                <w:ilvl w:val="12"/>
                <w:numId w:val="0"/>
              </w:numPr>
              <w:spacing w:line="320" w:lineRule="exact"/>
              <w:rPr>
                <w:rFonts w:ascii="Arial" w:hAnsi="Arial"/>
                <w:sz w:val="22"/>
                <w:szCs w:val="22"/>
              </w:rPr>
            </w:pPr>
            <w:proofErr w:type="spell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
        </w:tc>
        <w:tc>
          <w:tcPr>
            <w:tcW w:w="4820" w:type="dxa"/>
            <w:shd w:val="clear" w:color="auto" w:fill="auto"/>
          </w:tcPr>
          <w:p w14:paraId="1DB88D4C" w14:textId="16E533C9" w:rsidR="00AC60C9" w:rsidRPr="00AC60C9" w:rsidRDefault="00AC60C9" w:rsidP="00AC60C9">
            <w:pPr>
              <w:numPr>
                <w:ilvl w:val="12"/>
                <w:numId w:val="0"/>
              </w:numPr>
              <w:spacing w:line="320" w:lineRule="exact"/>
              <w:jc w:val="both"/>
              <w:rPr>
                <w:rFonts w:ascii="Arial" w:hAnsi="Arial"/>
                <w:sz w:val="22"/>
                <w:szCs w:val="22"/>
              </w:rPr>
            </w:pPr>
            <w:proofErr w:type="spellStart"/>
            <w:r w:rsidRPr="00AC60C9">
              <w:rPr>
                <w:rFonts w:ascii="Arial" w:hAnsi="Arial" w:cs="Arial"/>
                <w:sz w:val="22"/>
                <w:szCs w:val="22"/>
              </w:rPr>
              <w:t>č.ú</w:t>
            </w:r>
            <w:proofErr w:type="spellEnd"/>
            <w:r w:rsidRPr="00AC60C9">
              <w:rPr>
                <w:rFonts w:ascii="Arial" w:hAnsi="Arial" w:cs="Arial"/>
                <w:sz w:val="22"/>
                <w:szCs w:val="22"/>
              </w:rPr>
              <w:t xml:space="preserve">. </w:t>
            </w:r>
            <w:r w:rsidRPr="00AC60C9">
              <w:rPr>
                <w:rFonts w:ascii="Arial" w:hAnsi="Arial"/>
                <w:sz w:val="22"/>
                <w:szCs w:val="22"/>
              </w:rPr>
              <w:t>3415682/0300</w:t>
            </w:r>
          </w:p>
        </w:tc>
      </w:tr>
    </w:tbl>
    <w:p w14:paraId="4F654BB9" w14:textId="77777777"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14:paraId="7C16E081" w14:textId="77777777"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14:paraId="43280CD7" w14:textId="77777777" w:rsidTr="002C71D6">
        <w:tc>
          <w:tcPr>
            <w:tcW w:w="1738" w:type="dxa"/>
            <w:shd w:val="clear" w:color="auto" w:fill="auto"/>
            <w:vAlign w:val="center"/>
          </w:tcPr>
          <w:p w14:paraId="14AFAF13" w14:textId="77777777"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14:paraId="32DC2945" w14:textId="730FF252" w:rsidR="002C71D6" w:rsidRPr="00AC54F3" w:rsidRDefault="00AC54F3" w:rsidP="002C71D6">
            <w:pPr>
              <w:numPr>
                <w:ilvl w:val="12"/>
                <w:numId w:val="0"/>
              </w:numPr>
              <w:spacing w:line="320" w:lineRule="exact"/>
              <w:rPr>
                <w:rFonts w:ascii="Arial" w:hAnsi="Arial"/>
                <w:b/>
                <w:sz w:val="22"/>
                <w:szCs w:val="22"/>
              </w:rPr>
            </w:pPr>
            <w:r w:rsidRPr="00AC54F3">
              <w:rPr>
                <w:rFonts w:ascii="Arial" w:hAnsi="Arial"/>
                <w:b/>
                <w:sz w:val="22"/>
                <w:szCs w:val="22"/>
              </w:rPr>
              <w:t>AZ OPTIMAL s.r.o.</w:t>
            </w:r>
          </w:p>
        </w:tc>
      </w:tr>
      <w:tr w:rsidR="002C71D6" w:rsidRPr="001E159F" w14:paraId="56390098" w14:textId="77777777" w:rsidTr="002C71D6">
        <w:trPr>
          <w:gridBefore w:val="1"/>
          <w:wBefore w:w="1738" w:type="dxa"/>
        </w:trPr>
        <w:tc>
          <w:tcPr>
            <w:tcW w:w="2798" w:type="dxa"/>
            <w:shd w:val="clear" w:color="auto" w:fill="auto"/>
          </w:tcPr>
          <w:p w14:paraId="72816699" w14:textId="77777777" w:rsidR="002C71D6" w:rsidRPr="00C86CF0" w:rsidRDefault="002C71D6" w:rsidP="002C71D6">
            <w:pPr>
              <w:numPr>
                <w:ilvl w:val="12"/>
                <w:numId w:val="0"/>
              </w:numPr>
              <w:spacing w:line="320" w:lineRule="exact"/>
              <w:rPr>
                <w:rFonts w:ascii="Arial" w:hAnsi="Arial"/>
                <w:sz w:val="22"/>
                <w:szCs w:val="22"/>
              </w:rPr>
            </w:pPr>
            <w:proofErr w:type="gramStart"/>
            <w:r w:rsidRPr="00C86CF0">
              <w:rPr>
                <w:rFonts w:ascii="Arial" w:hAnsi="Arial"/>
                <w:sz w:val="22"/>
                <w:szCs w:val="22"/>
              </w:rPr>
              <w:t>Sídlo - adresa</w:t>
            </w:r>
            <w:proofErr w:type="gramEnd"/>
            <w:r w:rsidRPr="00C86CF0">
              <w:rPr>
                <w:rFonts w:ascii="Arial" w:hAnsi="Arial"/>
                <w:sz w:val="22"/>
                <w:szCs w:val="22"/>
              </w:rPr>
              <w:t>:</w:t>
            </w:r>
          </w:p>
        </w:tc>
        <w:tc>
          <w:tcPr>
            <w:tcW w:w="4820" w:type="dxa"/>
            <w:shd w:val="clear" w:color="auto" w:fill="auto"/>
          </w:tcPr>
          <w:p w14:paraId="6949FB42" w14:textId="375D21AC" w:rsidR="002C71D6" w:rsidRPr="00241AD8" w:rsidRDefault="00AC54F3" w:rsidP="002C71D6">
            <w:pPr>
              <w:numPr>
                <w:ilvl w:val="12"/>
                <w:numId w:val="0"/>
              </w:numPr>
              <w:spacing w:line="320" w:lineRule="exact"/>
              <w:rPr>
                <w:rFonts w:ascii="Arial" w:hAnsi="Arial"/>
                <w:sz w:val="22"/>
                <w:szCs w:val="22"/>
              </w:rPr>
            </w:pPr>
            <w:r>
              <w:rPr>
                <w:rFonts w:ascii="Arial" w:hAnsi="Arial"/>
                <w:sz w:val="22"/>
                <w:szCs w:val="22"/>
              </w:rPr>
              <w:t>Presy 853, 538 21 Slatiňany</w:t>
            </w:r>
          </w:p>
        </w:tc>
      </w:tr>
      <w:tr w:rsidR="002C71D6" w:rsidRPr="00941488" w14:paraId="6142D936" w14:textId="77777777" w:rsidTr="002C71D6">
        <w:trPr>
          <w:gridBefore w:val="1"/>
          <w:wBefore w:w="1738" w:type="dxa"/>
        </w:trPr>
        <w:tc>
          <w:tcPr>
            <w:tcW w:w="2798" w:type="dxa"/>
            <w:shd w:val="clear" w:color="auto" w:fill="auto"/>
          </w:tcPr>
          <w:p w14:paraId="63D8BD74" w14:textId="77777777"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14:paraId="0CE8FD1C" w14:textId="216F2869" w:rsidR="002C71D6" w:rsidRPr="00C86CF0" w:rsidRDefault="00AC54F3" w:rsidP="002C71D6">
            <w:pPr>
              <w:numPr>
                <w:ilvl w:val="12"/>
                <w:numId w:val="0"/>
              </w:numPr>
              <w:spacing w:line="320" w:lineRule="exact"/>
              <w:rPr>
                <w:rFonts w:ascii="Arial" w:hAnsi="Arial"/>
                <w:sz w:val="22"/>
                <w:szCs w:val="22"/>
              </w:rPr>
            </w:pPr>
            <w:r>
              <w:rPr>
                <w:rFonts w:ascii="Arial" w:hAnsi="Arial"/>
                <w:sz w:val="22"/>
                <w:szCs w:val="22"/>
              </w:rPr>
              <w:t xml:space="preserve">Yvona </w:t>
            </w:r>
            <w:proofErr w:type="spellStart"/>
            <w:r>
              <w:rPr>
                <w:rFonts w:ascii="Arial" w:hAnsi="Arial"/>
                <w:sz w:val="22"/>
                <w:szCs w:val="22"/>
              </w:rPr>
              <w:t>Breberová</w:t>
            </w:r>
            <w:proofErr w:type="spellEnd"/>
            <w:r>
              <w:rPr>
                <w:rFonts w:ascii="Arial" w:hAnsi="Arial"/>
                <w:sz w:val="22"/>
                <w:szCs w:val="22"/>
              </w:rPr>
              <w:t>, Ing. Zdeněk Janda – jednatelé společnosti</w:t>
            </w:r>
          </w:p>
        </w:tc>
      </w:tr>
      <w:tr w:rsidR="002C71D6" w:rsidRPr="00941488" w14:paraId="59C7216E" w14:textId="77777777" w:rsidTr="002C71D6">
        <w:trPr>
          <w:gridBefore w:val="1"/>
          <w:wBefore w:w="1738" w:type="dxa"/>
          <w:trHeight w:val="512"/>
        </w:trPr>
        <w:tc>
          <w:tcPr>
            <w:tcW w:w="2798" w:type="dxa"/>
            <w:shd w:val="clear" w:color="auto" w:fill="auto"/>
            <w:vAlign w:val="center"/>
          </w:tcPr>
          <w:p w14:paraId="5C93D5BD" w14:textId="77777777"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14:paraId="2E7BADCB" w14:textId="43CECB74" w:rsidR="002C71D6" w:rsidRPr="00AC54F3" w:rsidRDefault="00AC54F3" w:rsidP="002C71D6">
            <w:pPr>
              <w:numPr>
                <w:ilvl w:val="12"/>
                <w:numId w:val="0"/>
              </w:numPr>
              <w:spacing w:line="240" w:lineRule="exact"/>
              <w:rPr>
                <w:rFonts w:ascii="Arial" w:hAnsi="Arial"/>
                <w:color w:val="FF0000"/>
                <w:sz w:val="22"/>
                <w:szCs w:val="22"/>
              </w:rPr>
            </w:pPr>
            <w:r w:rsidRPr="00AC54F3">
              <w:rPr>
                <w:rFonts w:ascii="Arial" w:hAnsi="Arial"/>
                <w:sz w:val="22"/>
                <w:szCs w:val="22"/>
              </w:rPr>
              <w:t>Ing. Václav Hromek, Ing. Zdeněk Janda</w:t>
            </w:r>
          </w:p>
        </w:tc>
      </w:tr>
      <w:tr w:rsidR="002C71D6" w:rsidRPr="00941488" w14:paraId="61EBEC3C" w14:textId="77777777" w:rsidTr="002C71D6">
        <w:trPr>
          <w:gridBefore w:val="1"/>
          <w:wBefore w:w="1738" w:type="dxa"/>
        </w:trPr>
        <w:tc>
          <w:tcPr>
            <w:tcW w:w="2798" w:type="dxa"/>
            <w:shd w:val="clear" w:color="auto" w:fill="auto"/>
          </w:tcPr>
          <w:p w14:paraId="475A6D40"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r w:rsidR="007264D0">
              <w:rPr>
                <w:rFonts w:ascii="Arial" w:hAnsi="Arial"/>
                <w:sz w:val="22"/>
                <w:szCs w:val="22"/>
              </w:rPr>
              <w:t>O</w:t>
            </w:r>
            <w:r w:rsidRPr="00C86CF0">
              <w:rPr>
                <w:rFonts w:ascii="Arial" w:hAnsi="Arial"/>
                <w:sz w:val="22"/>
                <w:szCs w:val="22"/>
              </w:rPr>
              <w:t>:</w:t>
            </w:r>
          </w:p>
        </w:tc>
        <w:tc>
          <w:tcPr>
            <w:tcW w:w="4820" w:type="dxa"/>
            <w:shd w:val="clear" w:color="auto" w:fill="auto"/>
            <w:vAlign w:val="center"/>
          </w:tcPr>
          <w:p w14:paraId="731E067D" w14:textId="37217754" w:rsidR="002C71D6" w:rsidRPr="00C86CF0" w:rsidRDefault="00AC54F3" w:rsidP="002C71D6">
            <w:pPr>
              <w:rPr>
                <w:rFonts w:ascii="Arial" w:hAnsi="Arial"/>
                <w:sz w:val="22"/>
                <w:szCs w:val="22"/>
              </w:rPr>
            </w:pPr>
            <w:r>
              <w:rPr>
                <w:rFonts w:ascii="Arial" w:hAnsi="Arial"/>
                <w:sz w:val="22"/>
                <w:szCs w:val="22"/>
              </w:rPr>
              <w:t>275 10 468</w:t>
            </w:r>
          </w:p>
        </w:tc>
      </w:tr>
      <w:tr w:rsidR="002C71D6" w:rsidRPr="00941488" w14:paraId="46AE3E8B" w14:textId="77777777" w:rsidTr="002C71D6">
        <w:trPr>
          <w:gridBefore w:val="1"/>
          <w:wBefore w:w="1738" w:type="dxa"/>
        </w:trPr>
        <w:tc>
          <w:tcPr>
            <w:tcW w:w="2798" w:type="dxa"/>
            <w:shd w:val="clear" w:color="auto" w:fill="auto"/>
          </w:tcPr>
          <w:p w14:paraId="32D29955"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14:paraId="54511C0F" w14:textId="4A64B80A" w:rsidR="002C71D6" w:rsidRPr="00AC54F3" w:rsidRDefault="00AC54F3" w:rsidP="002C71D6">
            <w:pPr>
              <w:rPr>
                <w:rFonts w:ascii="Arial" w:hAnsi="Arial" w:cs="Arial"/>
                <w:sz w:val="22"/>
                <w:szCs w:val="22"/>
              </w:rPr>
            </w:pPr>
            <w:r w:rsidRPr="00AC54F3">
              <w:rPr>
                <w:rFonts w:ascii="Arial" w:hAnsi="Arial" w:cs="Arial"/>
                <w:sz w:val="22"/>
                <w:szCs w:val="22"/>
              </w:rPr>
              <w:t>CZ 275 10 468</w:t>
            </w:r>
          </w:p>
        </w:tc>
      </w:tr>
      <w:tr w:rsidR="002C71D6" w:rsidRPr="00941488" w14:paraId="48E033CC" w14:textId="77777777" w:rsidTr="002C71D6">
        <w:trPr>
          <w:gridBefore w:val="1"/>
          <w:wBefore w:w="1738" w:type="dxa"/>
        </w:trPr>
        <w:tc>
          <w:tcPr>
            <w:tcW w:w="2798" w:type="dxa"/>
            <w:shd w:val="clear" w:color="auto" w:fill="auto"/>
          </w:tcPr>
          <w:p w14:paraId="25A24532" w14:textId="77777777"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14:paraId="5D455BD0" w14:textId="6600903C" w:rsidR="002C71D6" w:rsidRPr="00C86CF0" w:rsidRDefault="00AC54F3" w:rsidP="002C71D6">
            <w:pPr>
              <w:numPr>
                <w:ilvl w:val="12"/>
                <w:numId w:val="0"/>
              </w:numPr>
              <w:spacing w:line="320" w:lineRule="exact"/>
              <w:jc w:val="both"/>
              <w:rPr>
                <w:rFonts w:ascii="Arial" w:hAnsi="Arial"/>
                <w:sz w:val="22"/>
                <w:szCs w:val="22"/>
              </w:rPr>
            </w:pPr>
            <w:r>
              <w:rPr>
                <w:rFonts w:ascii="Arial" w:hAnsi="Arial"/>
                <w:sz w:val="22"/>
                <w:szCs w:val="22"/>
              </w:rPr>
              <w:t>KB Chrudim</w:t>
            </w:r>
            <w:bookmarkStart w:id="0" w:name="_GoBack"/>
            <w:bookmarkEnd w:id="0"/>
          </w:p>
        </w:tc>
      </w:tr>
      <w:tr w:rsidR="002C71D6" w:rsidRPr="00941488" w14:paraId="5D4A5E92" w14:textId="77777777" w:rsidTr="002C71D6">
        <w:trPr>
          <w:gridBefore w:val="1"/>
          <w:wBefore w:w="1738" w:type="dxa"/>
          <w:trHeight w:val="298"/>
        </w:trPr>
        <w:tc>
          <w:tcPr>
            <w:tcW w:w="2798" w:type="dxa"/>
            <w:shd w:val="clear" w:color="auto" w:fill="auto"/>
          </w:tcPr>
          <w:p w14:paraId="5C2FEEE7" w14:textId="77777777" w:rsidR="002C71D6" w:rsidRPr="00C86CF0" w:rsidRDefault="00241AD8" w:rsidP="002C71D6">
            <w:pPr>
              <w:numPr>
                <w:ilvl w:val="12"/>
                <w:numId w:val="0"/>
              </w:numPr>
              <w:spacing w:line="320" w:lineRule="exact"/>
              <w:rPr>
                <w:rFonts w:ascii="Arial" w:hAnsi="Arial"/>
                <w:sz w:val="22"/>
                <w:szCs w:val="22"/>
              </w:rPr>
            </w:pPr>
            <w:proofErr w:type="spellStart"/>
            <w:r w:rsidRPr="00E27E48">
              <w:rPr>
                <w:rFonts w:ascii="Arial" w:hAnsi="Arial"/>
                <w:sz w:val="22"/>
                <w:szCs w:val="22"/>
              </w:rPr>
              <w:t>č.ú</w:t>
            </w:r>
            <w:proofErr w:type="spellEnd"/>
            <w:r w:rsidRPr="00E27E48">
              <w:rPr>
                <w:rFonts w:ascii="Arial" w:hAnsi="Arial"/>
                <w:sz w:val="22"/>
                <w:szCs w:val="22"/>
              </w:rPr>
              <w:t>.</w:t>
            </w:r>
            <w:r>
              <w:rPr>
                <w:rFonts w:ascii="Arial" w:hAnsi="Arial"/>
                <w:sz w:val="22"/>
                <w:szCs w:val="22"/>
              </w:rPr>
              <w:t>:</w:t>
            </w:r>
          </w:p>
        </w:tc>
        <w:tc>
          <w:tcPr>
            <w:tcW w:w="4820" w:type="dxa"/>
            <w:shd w:val="clear" w:color="auto" w:fill="auto"/>
          </w:tcPr>
          <w:p w14:paraId="35ECECEF" w14:textId="1D145327" w:rsidR="002C71D6" w:rsidRPr="00C86CF0" w:rsidRDefault="00AC54F3" w:rsidP="002C71D6">
            <w:pPr>
              <w:numPr>
                <w:ilvl w:val="12"/>
                <w:numId w:val="0"/>
              </w:numPr>
              <w:spacing w:line="320" w:lineRule="exact"/>
              <w:jc w:val="both"/>
              <w:rPr>
                <w:rFonts w:ascii="Arial" w:hAnsi="Arial"/>
                <w:sz w:val="22"/>
                <w:szCs w:val="22"/>
              </w:rPr>
            </w:pPr>
            <w:r>
              <w:rPr>
                <w:rFonts w:ascii="Arial" w:hAnsi="Arial"/>
                <w:sz w:val="22"/>
                <w:szCs w:val="22"/>
              </w:rPr>
              <w:t>35-8652020257/0100</w:t>
            </w:r>
          </w:p>
        </w:tc>
      </w:tr>
      <w:tr w:rsidR="000653B8" w:rsidRPr="00941488" w14:paraId="7AC23705" w14:textId="77777777" w:rsidTr="002C71D6">
        <w:trPr>
          <w:gridBefore w:val="1"/>
          <w:wBefore w:w="1738" w:type="dxa"/>
          <w:trHeight w:val="297"/>
        </w:trPr>
        <w:tc>
          <w:tcPr>
            <w:tcW w:w="2798" w:type="dxa"/>
            <w:shd w:val="clear" w:color="auto" w:fill="auto"/>
          </w:tcPr>
          <w:p w14:paraId="091AE767" w14:textId="77777777"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14:paraId="682BFE28" w14:textId="4B9C3F68" w:rsidR="000653B8" w:rsidRPr="00C86CF0" w:rsidRDefault="00AC54F3" w:rsidP="00241AD8">
            <w:pPr>
              <w:numPr>
                <w:ilvl w:val="12"/>
                <w:numId w:val="0"/>
              </w:numPr>
              <w:spacing w:line="320" w:lineRule="exact"/>
              <w:jc w:val="both"/>
              <w:rPr>
                <w:rFonts w:ascii="Arial" w:hAnsi="Arial"/>
                <w:sz w:val="22"/>
                <w:szCs w:val="22"/>
              </w:rPr>
            </w:pPr>
            <w:r>
              <w:rPr>
                <w:rFonts w:ascii="Arial" w:hAnsi="Arial"/>
                <w:sz w:val="22"/>
                <w:szCs w:val="22"/>
              </w:rPr>
              <w:t>Oddíl C, vložka 23302 u Krajského soudu v Hradci Králové</w:t>
            </w:r>
          </w:p>
        </w:tc>
      </w:tr>
    </w:tbl>
    <w:p w14:paraId="07C5A9A4" w14:textId="77777777" w:rsidR="002C71D6" w:rsidRDefault="002C71D6" w:rsidP="002C71D6">
      <w:pPr>
        <w:pStyle w:val="Nadpis1"/>
        <w:spacing w:before="0" w:after="0"/>
        <w:rPr>
          <w:rFonts w:cs="Arial"/>
          <w:b w:val="0"/>
          <w:sz w:val="22"/>
          <w:szCs w:val="22"/>
        </w:rPr>
      </w:pPr>
    </w:p>
    <w:p w14:paraId="45099E91" w14:textId="77777777" w:rsidR="0051626B" w:rsidRDefault="0051626B" w:rsidP="00241AD8">
      <w:pPr>
        <w:pStyle w:val="Nadpis1"/>
        <w:spacing w:before="0" w:after="0"/>
        <w:jc w:val="both"/>
        <w:rPr>
          <w:rFonts w:cs="Arial"/>
          <w:b w:val="0"/>
          <w:sz w:val="22"/>
          <w:szCs w:val="22"/>
        </w:rPr>
      </w:pPr>
    </w:p>
    <w:p w14:paraId="1D14FE0A" w14:textId="77777777"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14:paraId="4962858C" w14:textId="77777777" w:rsidR="00C86CF0" w:rsidRDefault="00C86CF0" w:rsidP="00C7555E">
      <w:pPr>
        <w:rPr>
          <w:rFonts w:ascii="Arial" w:hAnsi="Arial" w:cs="Arial"/>
          <w:sz w:val="22"/>
          <w:szCs w:val="22"/>
        </w:rPr>
      </w:pPr>
    </w:p>
    <w:p w14:paraId="63AA2360" w14:textId="77777777" w:rsidR="00241AD8" w:rsidRDefault="00241AD8" w:rsidP="00C7555E">
      <w:pPr>
        <w:rPr>
          <w:rFonts w:ascii="Arial" w:hAnsi="Arial" w:cs="Arial"/>
          <w:sz w:val="22"/>
          <w:szCs w:val="22"/>
        </w:rPr>
      </w:pPr>
    </w:p>
    <w:p w14:paraId="111BF9B6" w14:textId="77777777"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14:paraId="79477ACE" w14:textId="77777777"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14:paraId="6665A99C" w14:textId="307D7A18" w:rsidR="00AC60C9" w:rsidRDefault="00C7555E" w:rsidP="00AC60C9">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Předmětem pln</w:t>
      </w:r>
      <w:r w:rsidRPr="00435C27">
        <w:rPr>
          <w:rFonts w:ascii="Arial" w:hAnsi="Arial" w:cs="Arial"/>
          <w:sz w:val="22"/>
          <w:szCs w:val="22"/>
        </w:rPr>
        <w:t xml:space="preserve">ění dle této smlouvy je komplexní zajištění </w:t>
      </w:r>
      <w:r w:rsidR="003A6E3B" w:rsidRPr="00435C27">
        <w:rPr>
          <w:rFonts w:ascii="Arial" w:hAnsi="Arial" w:cs="Arial"/>
          <w:sz w:val="22"/>
          <w:szCs w:val="22"/>
        </w:rPr>
        <w:t xml:space="preserve">služeb </w:t>
      </w:r>
      <w:r w:rsidRPr="00435C27">
        <w:rPr>
          <w:rFonts w:ascii="Arial" w:hAnsi="Arial" w:cs="Arial"/>
          <w:sz w:val="22"/>
          <w:szCs w:val="22"/>
        </w:rPr>
        <w:t xml:space="preserve">technického dozoru investora v průběhu realizace stavby </w:t>
      </w:r>
      <w:r w:rsidR="00150E8B" w:rsidRPr="00984E6F">
        <w:rPr>
          <w:rFonts w:ascii="Arial" w:hAnsi="Arial"/>
          <w:b/>
          <w:sz w:val="22"/>
        </w:rPr>
        <w:t>„</w:t>
      </w:r>
      <w:r w:rsidR="00AC60C9">
        <w:rPr>
          <w:rFonts w:ascii="Arial" w:hAnsi="Arial" w:cs="Arial"/>
          <w:b/>
          <w:sz w:val="22"/>
          <w:szCs w:val="22"/>
        </w:rPr>
        <w:t>Gymnázium Holice – rekonstrukce střechy I.</w:t>
      </w:r>
      <w:r w:rsidR="00984E6F">
        <w:t> </w:t>
      </w:r>
      <w:r w:rsidR="00AC60C9">
        <w:rPr>
          <w:rFonts w:ascii="Arial" w:hAnsi="Arial" w:cs="Arial"/>
          <w:b/>
          <w:sz w:val="22"/>
          <w:szCs w:val="22"/>
        </w:rPr>
        <w:t>etapa“</w:t>
      </w:r>
      <w:r w:rsidR="000115C6" w:rsidRPr="001F544C">
        <w:rPr>
          <w:rFonts w:ascii="Arial" w:hAnsi="Arial" w:cs="Arial"/>
          <w:sz w:val="22"/>
          <w:szCs w:val="22"/>
        </w:rPr>
        <w:t xml:space="preserve"> 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p>
    <w:p w14:paraId="7DCE0678" w14:textId="1D9DB44B" w:rsidR="00241AD8" w:rsidRPr="00AC60C9" w:rsidRDefault="00241AD8" w:rsidP="00AC60C9">
      <w:pPr>
        <w:numPr>
          <w:ilvl w:val="0"/>
          <w:numId w:val="1"/>
        </w:numPr>
        <w:tabs>
          <w:tab w:val="clear" w:pos="360"/>
        </w:tabs>
        <w:spacing w:after="120"/>
        <w:ind w:left="426" w:hanging="426"/>
        <w:jc w:val="both"/>
        <w:rPr>
          <w:rFonts w:ascii="Arial" w:hAnsi="Arial" w:cs="Arial"/>
          <w:sz w:val="22"/>
          <w:szCs w:val="22"/>
        </w:rPr>
      </w:pPr>
      <w:r w:rsidRPr="00AC60C9">
        <w:rPr>
          <w:rFonts w:ascii="Arial" w:hAnsi="Arial" w:cs="Arial"/>
          <w:sz w:val="22"/>
          <w:szCs w:val="22"/>
        </w:rPr>
        <w:t xml:space="preserve">Stavba, pro kterou jsou služby technického dozoru investora </w:t>
      </w:r>
      <w:r w:rsidR="00AC60C9">
        <w:rPr>
          <w:rFonts w:ascii="Arial" w:hAnsi="Arial" w:cs="Arial"/>
          <w:sz w:val="22"/>
          <w:szCs w:val="22"/>
        </w:rPr>
        <w:t xml:space="preserve">a autorského dozoru </w:t>
      </w:r>
      <w:r w:rsidRPr="00AC60C9">
        <w:rPr>
          <w:rFonts w:ascii="Arial" w:hAnsi="Arial" w:cs="Arial"/>
          <w:sz w:val="22"/>
          <w:szCs w:val="22"/>
        </w:rPr>
        <w:t xml:space="preserve">touto smlouvou sjednávány, bude prováděna v předpokládaném termínu od </w:t>
      </w:r>
      <w:r w:rsidR="008C1A63">
        <w:rPr>
          <w:rFonts w:ascii="Arial" w:hAnsi="Arial" w:cs="Arial"/>
          <w:sz w:val="22"/>
          <w:szCs w:val="22"/>
        </w:rPr>
        <w:t>3</w:t>
      </w:r>
      <w:r w:rsidR="00AC60C9" w:rsidRPr="00AC60C9">
        <w:rPr>
          <w:rFonts w:ascii="Arial" w:hAnsi="Arial" w:cs="Arial"/>
          <w:sz w:val="22"/>
          <w:szCs w:val="22"/>
        </w:rPr>
        <w:t>1</w:t>
      </w:r>
      <w:r w:rsidR="007C7233" w:rsidRPr="00AC60C9">
        <w:rPr>
          <w:rFonts w:ascii="Arial" w:hAnsi="Arial" w:cs="Arial"/>
          <w:sz w:val="22"/>
          <w:szCs w:val="22"/>
        </w:rPr>
        <w:t xml:space="preserve">. </w:t>
      </w:r>
      <w:r w:rsidR="008C1A63">
        <w:rPr>
          <w:rFonts w:ascii="Arial" w:hAnsi="Arial" w:cs="Arial"/>
          <w:sz w:val="22"/>
          <w:szCs w:val="22"/>
        </w:rPr>
        <w:t>5</w:t>
      </w:r>
      <w:r w:rsidR="002341A0" w:rsidRPr="00AC60C9">
        <w:rPr>
          <w:rFonts w:ascii="Arial" w:hAnsi="Arial"/>
          <w:sz w:val="22"/>
        </w:rPr>
        <w:t>. 202</w:t>
      </w:r>
      <w:r w:rsidR="00AC60C9" w:rsidRPr="00AC60C9">
        <w:rPr>
          <w:rFonts w:ascii="Arial" w:hAnsi="Arial"/>
          <w:sz w:val="22"/>
        </w:rPr>
        <w:t>3</w:t>
      </w:r>
      <w:r w:rsidRPr="00AC60C9">
        <w:rPr>
          <w:rFonts w:ascii="Arial" w:hAnsi="Arial"/>
          <w:sz w:val="22"/>
        </w:rPr>
        <w:t xml:space="preserve"> do</w:t>
      </w:r>
      <w:r w:rsidR="00AC60C9">
        <w:rPr>
          <w:rFonts w:ascii="Arial" w:hAnsi="Arial"/>
          <w:sz w:val="22"/>
        </w:rPr>
        <w:t> </w:t>
      </w:r>
      <w:r w:rsidR="007C7233" w:rsidRPr="00AC60C9">
        <w:rPr>
          <w:rFonts w:ascii="Arial" w:hAnsi="Arial" w:cs="Arial"/>
          <w:sz w:val="22"/>
          <w:szCs w:val="22"/>
        </w:rPr>
        <w:t>3</w:t>
      </w:r>
      <w:r w:rsidR="00AC60C9" w:rsidRPr="00AC60C9">
        <w:rPr>
          <w:rFonts w:ascii="Arial" w:hAnsi="Arial" w:cs="Arial"/>
          <w:sz w:val="22"/>
          <w:szCs w:val="22"/>
        </w:rPr>
        <w:t>0</w:t>
      </w:r>
      <w:r w:rsidR="001F544C" w:rsidRPr="00AC60C9">
        <w:rPr>
          <w:rFonts w:ascii="Arial" w:hAnsi="Arial" w:cs="Arial"/>
          <w:sz w:val="22"/>
          <w:szCs w:val="22"/>
        </w:rPr>
        <w:t>.</w:t>
      </w:r>
      <w:r w:rsidR="00AC60C9">
        <w:rPr>
          <w:rFonts w:ascii="Arial" w:hAnsi="Arial" w:cs="Arial"/>
          <w:sz w:val="22"/>
          <w:szCs w:val="22"/>
        </w:rPr>
        <w:t> </w:t>
      </w:r>
      <w:r w:rsidR="00AC60C9" w:rsidRPr="00AC60C9">
        <w:rPr>
          <w:rFonts w:ascii="Arial" w:hAnsi="Arial" w:cs="Arial"/>
          <w:sz w:val="22"/>
          <w:szCs w:val="22"/>
        </w:rPr>
        <w:t>9</w:t>
      </w:r>
      <w:r w:rsidR="001F544C" w:rsidRPr="00AC60C9">
        <w:rPr>
          <w:rFonts w:ascii="Arial" w:hAnsi="Arial" w:cs="Arial"/>
          <w:sz w:val="22"/>
          <w:szCs w:val="22"/>
        </w:rPr>
        <w:t>.</w:t>
      </w:r>
      <w:r w:rsidR="00AC60C9">
        <w:rPr>
          <w:rFonts w:ascii="Arial" w:hAnsi="Arial" w:cs="Arial"/>
          <w:sz w:val="22"/>
          <w:szCs w:val="22"/>
        </w:rPr>
        <w:t> </w:t>
      </w:r>
      <w:r w:rsidR="00AC60C9" w:rsidRPr="00AC60C9">
        <w:rPr>
          <w:rFonts w:ascii="Arial" w:hAnsi="Arial" w:cs="Arial"/>
          <w:sz w:val="22"/>
          <w:szCs w:val="22"/>
        </w:rPr>
        <w:t>2023.</w:t>
      </w:r>
    </w:p>
    <w:p w14:paraId="63DB157D" w14:textId="77777777"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lastRenderedPageBreak/>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14:paraId="66D44BD4" w14:textId="77777777" w:rsidR="00E30850" w:rsidRPr="00241AD8" w:rsidRDefault="00E30850" w:rsidP="00E30850">
      <w:pPr>
        <w:spacing w:after="120"/>
        <w:jc w:val="both"/>
        <w:rPr>
          <w:rFonts w:ascii="Arial" w:hAnsi="Arial" w:cs="Arial"/>
          <w:sz w:val="22"/>
          <w:szCs w:val="22"/>
        </w:rPr>
      </w:pPr>
    </w:p>
    <w:p w14:paraId="796DE1AC" w14:textId="77777777"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14:paraId="077785A3" w14:textId="77777777"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14:paraId="0F4E8553" w14:textId="5EB37541"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 xml:space="preserve">technický dozor </w:t>
      </w:r>
      <w:r w:rsidR="00984E6F">
        <w:rPr>
          <w:rFonts w:ascii="Arial" w:hAnsi="Arial" w:cs="Arial"/>
          <w:sz w:val="22"/>
          <w:szCs w:val="22"/>
        </w:rPr>
        <w:t xml:space="preserve">investora a autorský dozor </w:t>
      </w:r>
      <w:r w:rsidR="00C979E8" w:rsidRPr="007548F4">
        <w:rPr>
          <w:rFonts w:ascii="Arial" w:hAnsi="Arial" w:cs="Arial"/>
          <w:sz w:val="22"/>
          <w:szCs w:val="22"/>
        </w:rPr>
        <w:t>nad prováděním prací</w:t>
      </w:r>
      <w:r w:rsidR="00C979E8">
        <w:rPr>
          <w:rFonts w:ascii="Arial" w:hAnsi="Arial" w:cs="Arial"/>
          <w:sz w:val="22"/>
          <w:szCs w:val="22"/>
        </w:rPr>
        <w:t xml:space="preserve"> investiční akce </w:t>
      </w:r>
      <w:r w:rsidR="00984E6F" w:rsidRPr="00984E6F">
        <w:rPr>
          <w:rFonts w:ascii="Arial" w:hAnsi="Arial"/>
          <w:b/>
          <w:sz w:val="22"/>
        </w:rPr>
        <w:t>„</w:t>
      </w:r>
      <w:r w:rsidR="00984E6F">
        <w:rPr>
          <w:rFonts w:ascii="Arial" w:hAnsi="Arial" w:cs="Arial"/>
          <w:b/>
          <w:sz w:val="22"/>
          <w:szCs w:val="22"/>
        </w:rPr>
        <w:t>Gymnázium Holice – rekonstrukce střechy I.</w:t>
      </w:r>
      <w:r w:rsidR="00984E6F">
        <w:t> </w:t>
      </w:r>
      <w:r w:rsidR="00984E6F">
        <w:rPr>
          <w:rFonts w:ascii="Arial" w:hAnsi="Arial" w:cs="Arial"/>
          <w:b/>
          <w:sz w:val="22"/>
          <w:szCs w:val="22"/>
        </w:rPr>
        <w:t>etapa“</w:t>
      </w:r>
      <w:r w:rsidR="00C979E8" w:rsidRPr="00984E6F">
        <w:rPr>
          <w:rFonts w:ascii="Arial" w:hAnsi="Arial"/>
          <w:sz w:val="22"/>
        </w:rPr>
        <w:t>,</w:t>
      </w:r>
      <w:r w:rsidR="00C979E8">
        <w:rPr>
          <w:rFonts w:ascii="Arial" w:hAnsi="Arial" w:cs="Arial"/>
          <w:sz w:val="22"/>
          <w:szCs w:val="22"/>
        </w:rPr>
        <w:t xml:space="preserve">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14:paraId="525D8317" w14:textId="0F52C67B"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příslušnými povoleními stavby a</w:t>
      </w:r>
      <w:r w:rsidR="00984E6F">
        <w:rPr>
          <w:rFonts w:ascii="Arial" w:hAnsi="Arial" w:cs="Arial"/>
          <w:sz w:val="22"/>
          <w:szCs w:val="22"/>
        </w:rPr>
        <w:t>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w:t>
      </w:r>
      <w:r w:rsidR="00984E6F">
        <w:rPr>
          <w:rFonts w:ascii="Arial" w:hAnsi="Arial" w:cs="Arial"/>
          <w:sz w:val="22"/>
          <w:szCs w:val="22"/>
        </w:rPr>
        <w:t> </w:t>
      </w:r>
      <w:r w:rsidR="0011414D" w:rsidRPr="007548F4">
        <w:rPr>
          <w:rFonts w:ascii="Arial" w:hAnsi="Arial" w:cs="Arial"/>
          <w:sz w:val="22"/>
          <w:szCs w:val="22"/>
        </w:rPr>
        <w:t>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14:paraId="687ADD33"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14:paraId="4C84D12E"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14:paraId="1E59C1E2"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14:paraId="746FAB5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14:paraId="7B0D9AFF"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14:paraId="22ECABB8"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14:paraId="6C847E6B" w14:textId="77777777" w:rsidR="00C7555E" w:rsidRPr="00984E6F" w:rsidRDefault="00C7555E" w:rsidP="00CC70ED">
      <w:pPr>
        <w:numPr>
          <w:ilvl w:val="0"/>
          <w:numId w:val="2"/>
        </w:numPr>
        <w:spacing w:after="60"/>
        <w:ind w:left="426" w:hanging="426"/>
        <w:jc w:val="both"/>
        <w:rPr>
          <w:rFonts w:ascii="Arial" w:hAnsi="Arial" w:cs="Arial"/>
          <w:sz w:val="22"/>
          <w:szCs w:val="22"/>
        </w:rPr>
      </w:pPr>
      <w:r w:rsidRPr="00984E6F">
        <w:rPr>
          <w:rFonts w:ascii="Arial" w:hAnsi="Arial" w:cs="Arial"/>
          <w:sz w:val="22"/>
          <w:szCs w:val="22"/>
        </w:rPr>
        <w:t>kontrolovat</w:t>
      </w:r>
      <w:r w:rsidR="004F43E2" w:rsidRPr="00984E6F">
        <w:rPr>
          <w:rFonts w:ascii="Arial" w:hAnsi="Arial" w:cs="Arial"/>
          <w:sz w:val="22"/>
          <w:szCs w:val="22"/>
        </w:rPr>
        <w:t xml:space="preserve"> a odsouhlasovat </w:t>
      </w:r>
      <w:r w:rsidRPr="00984E6F">
        <w:rPr>
          <w:rFonts w:ascii="Arial" w:hAnsi="Arial" w:cs="Arial"/>
          <w:sz w:val="22"/>
          <w:szCs w:val="22"/>
        </w:rPr>
        <w:t>věcnou a cenovou správnost a úplnost oceňovacích podkladů a faktur</w:t>
      </w:r>
      <w:r w:rsidR="004F43E2" w:rsidRPr="00984E6F">
        <w:rPr>
          <w:rFonts w:ascii="Arial" w:hAnsi="Arial" w:cs="Arial"/>
          <w:sz w:val="22"/>
          <w:szCs w:val="22"/>
        </w:rPr>
        <w:t xml:space="preserve"> zhotovitele (soupisy prací a zjišťovací protokoly)</w:t>
      </w:r>
      <w:r w:rsidRPr="00984E6F">
        <w:rPr>
          <w:rFonts w:ascii="Arial" w:hAnsi="Arial" w:cs="Arial"/>
          <w:sz w:val="22"/>
          <w:szCs w:val="22"/>
        </w:rPr>
        <w:t>, jejich soulad s podmínk</w:t>
      </w:r>
      <w:r w:rsidR="004F43E2" w:rsidRPr="00984E6F">
        <w:rPr>
          <w:rFonts w:ascii="Arial" w:hAnsi="Arial" w:cs="Arial"/>
          <w:sz w:val="22"/>
          <w:szCs w:val="22"/>
        </w:rPr>
        <w:t xml:space="preserve">ami uvedenými ve smlouvě o dílo (zejm. musí být důkladně prověřeny </w:t>
      </w:r>
      <w:r w:rsidRPr="00984E6F">
        <w:rPr>
          <w:rFonts w:ascii="Arial" w:hAnsi="Arial" w:cs="Arial"/>
          <w:sz w:val="22"/>
          <w:szCs w:val="22"/>
        </w:rPr>
        <w:t>fakturované položky a nesmí být fakturovány položky, které nebyly dodány</w:t>
      </w:r>
      <w:r w:rsidR="004F43E2" w:rsidRPr="00984E6F">
        <w:rPr>
          <w:rFonts w:ascii="Arial" w:hAnsi="Arial" w:cs="Arial"/>
          <w:sz w:val="22"/>
          <w:szCs w:val="22"/>
        </w:rPr>
        <w:t xml:space="preserve"> nebo provedeny),</w:t>
      </w:r>
      <w:r w:rsidRPr="00984E6F">
        <w:rPr>
          <w:rFonts w:ascii="Arial" w:hAnsi="Arial" w:cs="Arial"/>
          <w:sz w:val="22"/>
          <w:szCs w:val="22"/>
        </w:rPr>
        <w:t xml:space="preserve"> dále zajišťuje jejich př</w:t>
      </w:r>
      <w:r w:rsidR="004F43E2" w:rsidRPr="00984E6F">
        <w:rPr>
          <w:rFonts w:ascii="Arial" w:hAnsi="Arial" w:cs="Arial"/>
          <w:sz w:val="22"/>
          <w:szCs w:val="22"/>
        </w:rPr>
        <w:t>edání objednateli k proplacení;</w:t>
      </w:r>
    </w:p>
    <w:p w14:paraId="31F2C123" w14:textId="77777777" w:rsidR="00C7555E" w:rsidRPr="00984E6F" w:rsidRDefault="00114394" w:rsidP="00CC70ED">
      <w:pPr>
        <w:numPr>
          <w:ilvl w:val="0"/>
          <w:numId w:val="2"/>
        </w:numPr>
        <w:spacing w:after="60"/>
        <w:ind w:left="426" w:hanging="426"/>
        <w:jc w:val="both"/>
        <w:rPr>
          <w:rFonts w:ascii="Arial" w:hAnsi="Arial" w:cs="Arial"/>
          <w:sz w:val="22"/>
          <w:szCs w:val="22"/>
        </w:rPr>
      </w:pPr>
      <w:r w:rsidRPr="00984E6F">
        <w:rPr>
          <w:rFonts w:ascii="Arial" w:hAnsi="Arial" w:cs="Arial"/>
          <w:sz w:val="22"/>
          <w:szCs w:val="22"/>
        </w:rPr>
        <w:t>kontrolovat</w:t>
      </w:r>
      <w:r w:rsidR="00C7555E" w:rsidRPr="00984E6F">
        <w:rPr>
          <w:rFonts w:ascii="Arial" w:hAnsi="Arial" w:cs="Arial"/>
          <w:sz w:val="22"/>
          <w:szCs w:val="22"/>
        </w:rPr>
        <w:t xml:space="preserve"> čerpání jednotlivých položek rozpočtu z hlediska jej</w:t>
      </w:r>
      <w:r w:rsidR="00703D0F" w:rsidRPr="00984E6F">
        <w:rPr>
          <w:rFonts w:ascii="Arial" w:hAnsi="Arial" w:cs="Arial"/>
          <w:sz w:val="22"/>
          <w:szCs w:val="22"/>
        </w:rPr>
        <w:t>ich nedočerpání nebo přečerpání;</w:t>
      </w:r>
    </w:p>
    <w:p w14:paraId="48E835B4"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14:paraId="0F611A01" w14:textId="0EB6D40C"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projednávat dodatky a nutné změny dokumentace</w:t>
      </w:r>
      <w:r w:rsidR="00663C59">
        <w:rPr>
          <w:rFonts w:ascii="Arial" w:hAnsi="Arial" w:cs="Arial"/>
          <w:sz w:val="22"/>
          <w:szCs w:val="22"/>
        </w:rPr>
        <w:t xml:space="preserve"> a</w:t>
      </w:r>
      <w:r w:rsidRPr="007548F4">
        <w:rPr>
          <w:rFonts w:ascii="Arial" w:hAnsi="Arial" w:cs="Arial"/>
          <w:sz w:val="22"/>
          <w:szCs w:val="22"/>
        </w:rPr>
        <w:t xml:space="preserve"> předkládat </w:t>
      </w:r>
      <w:r w:rsidR="00663C59">
        <w:rPr>
          <w:rFonts w:ascii="Arial" w:hAnsi="Arial" w:cs="Arial"/>
          <w:sz w:val="22"/>
          <w:szCs w:val="22"/>
        </w:rPr>
        <w:t xml:space="preserve">je </w:t>
      </w:r>
      <w:r w:rsidRPr="007548F4">
        <w:rPr>
          <w:rFonts w:ascii="Arial" w:hAnsi="Arial" w:cs="Arial"/>
          <w:sz w:val="22"/>
          <w:szCs w:val="22"/>
        </w:rPr>
        <w:t>s vlastním vyjádřením objednateli</w:t>
      </w:r>
      <w:r w:rsidR="009B69ED">
        <w:rPr>
          <w:rFonts w:ascii="Arial" w:hAnsi="Arial" w:cs="Arial"/>
          <w:sz w:val="22"/>
          <w:szCs w:val="22"/>
        </w:rPr>
        <w:t>;</w:t>
      </w:r>
    </w:p>
    <w:p w14:paraId="1B2F4326" w14:textId="77777777"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14:paraId="7F2FD7C7" w14:textId="77777777" w:rsidR="00C7555E" w:rsidRPr="00984E6F" w:rsidRDefault="00C7555E" w:rsidP="00CC70ED">
      <w:pPr>
        <w:numPr>
          <w:ilvl w:val="0"/>
          <w:numId w:val="2"/>
        </w:numPr>
        <w:spacing w:after="60"/>
        <w:ind w:left="426" w:hanging="426"/>
        <w:jc w:val="both"/>
        <w:rPr>
          <w:rFonts w:ascii="Arial" w:hAnsi="Arial" w:cs="Arial"/>
          <w:sz w:val="22"/>
          <w:szCs w:val="22"/>
        </w:rPr>
      </w:pPr>
      <w:r w:rsidRPr="00984E6F">
        <w:rPr>
          <w:rFonts w:ascii="Arial" w:hAnsi="Arial" w:cs="Arial"/>
          <w:sz w:val="22"/>
          <w:szCs w:val="22"/>
        </w:rPr>
        <w:t>ověřovat správnost všech návrhů zhotovitele na změny cen, termínů nebo jiných podmínek smlouvy, připojovat k nim své stano</w:t>
      </w:r>
      <w:r w:rsidR="009B69ED" w:rsidRPr="00984E6F">
        <w:rPr>
          <w:rFonts w:ascii="Arial" w:hAnsi="Arial" w:cs="Arial"/>
          <w:sz w:val="22"/>
          <w:szCs w:val="22"/>
        </w:rPr>
        <w:t>visko a předávat je objednateli. Poskytovatel</w:t>
      </w:r>
      <w:r w:rsidR="007B0E1E" w:rsidRPr="00984E6F">
        <w:rPr>
          <w:rFonts w:ascii="Arial" w:hAnsi="Arial" w:cs="Arial"/>
          <w:sz w:val="22"/>
          <w:szCs w:val="22"/>
        </w:rPr>
        <w:t xml:space="preserve"> přitom zejména </w:t>
      </w:r>
      <w:r w:rsidR="009B69ED" w:rsidRPr="00984E6F">
        <w:rPr>
          <w:rFonts w:ascii="Arial" w:hAnsi="Arial" w:cs="Arial"/>
          <w:sz w:val="22"/>
          <w:szCs w:val="22"/>
        </w:rPr>
        <w:t xml:space="preserve">dbá </w:t>
      </w:r>
      <w:r w:rsidR="007B0E1E" w:rsidRPr="00984E6F">
        <w:rPr>
          <w:rFonts w:ascii="Arial" w:hAnsi="Arial" w:cs="Arial"/>
          <w:sz w:val="22"/>
          <w:szCs w:val="22"/>
        </w:rPr>
        <w:t>o hospodárnost stavby z pohledu objednatele</w:t>
      </w:r>
      <w:r w:rsidR="009B69ED" w:rsidRPr="00984E6F">
        <w:rPr>
          <w:rFonts w:ascii="Arial" w:hAnsi="Arial" w:cs="Arial"/>
          <w:sz w:val="22"/>
          <w:szCs w:val="22"/>
        </w:rPr>
        <w:t>;</w:t>
      </w:r>
    </w:p>
    <w:p w14:paraId="6975D85D" w14:textId="093A1B92" w:rsidR="009B69ED"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dodržováním bezp</w:t>
      </w:r>
      <w:r w:rsidR="00B14C22">
        <w:rPr>
          <w:rFonts w:ascii="Arial" w:hAnsi="Arial" w:cs="Arial"/>
          <w:sz w:val="22"/>
          <w:szCs w:val="22"/>
        </w:rPr>
        <w:t>ečnostních a</w:t>
      </w:r>
      <w:r w:rsidR="00984E6F">
        <w:rPr>
          <w:rFonts w:ascii="Arial" w:hAnsi="Arial" w:cs="Arial"/>
          <w:sz w:val="22"/>
          <w:szCs w:val="22"/>
        </w:rPr>
        <w:t> </w:t>
      </w:r>
      <w:r w:rsidR="00B14C22">
        <w:rPr>
          <w:rFonts w:ascii="Arial" w:hAnsi="Arial" w:cs="Arial"/>
          <w:sz w:val="22"/>
          <w:szCs w:val="22"/>
        </w:rPr>
        <w:t>požárních předpisů a</w:t>
      </w:r>
      <w:r w:rsidRPr="007548F4">
        <w:rPr>
          <w:rFonts w:ascii="Arial" w:hAnsi="Arial" w:cs="Arial"/>
          <w:sz w:val="22"/>
          <w:szCs w:val="22"/>
        </w:rPr>
        <w:t xml:space="preserve"> nad u</w:t>
      </w:r>
      <w:r w:rsidR="009B69ED">
        <w:rPr>
          <w:rFonts w:ascii="Arial" w:hAnsi="Arial" w:cs="Arial"/>
          <w:sz w:val="22"/>
          <w:szCs w:val="22"/>
        </w:rPr>
        <w:t>držováním pořádku na staveništi;</w:t>
      </w:r>
    </w:p>
    <w:p w14:paraId="68FA575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14:paraId="66F6034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14:paraId="06E927CC" w14:textId="77777777"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14:paraId="39A85E87"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14:paraId="0B3F3B56" w14:textId="5DDACAA5"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w:t>
      </w:r>
      <w:r w:rsidR="00984E6F">
        <w:rPr>
          <w:rFonts w:ascii="Arial" w:hAnsi="Arial" w:cs="Arial"/>
          <w:sz w:val="22"/>
          <w:szCs w:val="22"/>
        </w:rPr>
        <w:t> </w:t>
      </w:r>
      <w:r w:rsidR="00485E90" w:rsidRPr="00734F95">
        <w:rPr>
          <w:rFonts w:ascii="Arial" w:hAnsi="Arial" w:cs="Arial"/>
          <w:sz w:val="22"/>
          <w:szCs w:val="22"/>
        </w:rPr>
        <w:t>převzetí dokončené stavby</w:t>
      </w:r>
      <w:r w:rsidRPr="00734F95">
        <w:rPr>
          <w:rFonts w:ascii="Arial" w:hAnsi="Arial" w:cs="Arial"/>
          <w:sz w:val="22"/>
          <w:szCs w:val="22"/>
        </w:rPr>
        <w:t>;</w:t>
      </w:r>
    </w:p>
    <w:p w14:paraId="13D40100" w14:textId="77777777"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14:paraId="47371DAA"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14:paraId="2879D33C"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14:paraId="64A95B6B" w14:textId="77777777"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14:paraId="502501AB" w14:textId="77777777"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14:paraId="36BDE93E" w14:textId="77777777" w:rsidR="009A1FAC" w:rsidRDefault="009A1FAC" w:rsidP="00E30850">
      <w:pPr>
        <w:pStyle w:val="Podnadpis1"/>
        <w:keepNext/>
        <w:spacing w:before="0"/>
        <w:ind w:left="0"/>
        <w:rPr>
          <w:rFonts w:ascii="Arial" w:hAnsi="Arial" w:cs="Arial"/>
          <w:color w:val="auto"/>
          <w:sz w:val="22"/>
          <w:szCs w:val="22"/>
        </w:rPr>
      </w:pPr>
    </w:p>
    <w:p w14:paraId="2EA9CD7C" w14:textId="77777777"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14:paraId="433CDF58" w14:textId="77777777"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14:paraId="11510FE2" w14:textId="77777777"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14:paraId="6DDB0D91" w14:textId="77777777"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14:paraId="07A463EC" w14:textId="77777777"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14:paraId="489A0C1B" w14:textId="77777777"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14:paraId="58CF4A90" w14:textId="77777777"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14:paraId="236C5F97" w14:textId="77777777"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14:paraId="0F9BDF34" w14:textId="77777777"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14:paraId="69CE7BF8" w14:textId="77777777"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14:paraId="3176CE22" w14:textId="77777777"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14:paraId="35CEBD8D" w14:textId="77777777"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lastRenderedPageBreak/>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14:paraId="574AA3D6" w14:textId="6FE948B0"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w:t>
      </w:r>
      <w:r w:rsidR="006605C1">
        <w:rPr>
          <w:rFonts w:ascii="Arial" w:hAnsi="Arial" w:cs="Arial"/>
          <w:color w:val="auto"/>
          <w:sz w:val="22"/>
          <w:szCs w:val="22"/>
        </w:rPr>
        <w:t xml:space="preserve">trvání </w:t>
      </w:r>
      <w:r>
        <w:rPr>
          <w:rFonts w:ascii="Arial" w:hAnsi="Arial" w:cs="Arial"/>
          <w:color w:val="auto"/>
          <w:sz w:val="22"/>
          <w:szCs w:val="22"/>
        </w:rPr>
        <w:t xml:space="preserve">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742ED9">
        <w:rPr>
          <w:rFonts w:ascii="Arial" w:hAnsi="Arial" w:cs="Arial"/>
          <w:color w:val="auto"/>
          <w:sz w:val="22"/>
          <w:szCs w:val="22"/>
        </w:rPr>
        <w:t xml:space="preserve">na </w:t>
      </w:r>
      <w:r w:rsidR="00BA7237">
        <w:rPr>
          <w:rFonts w:ascii="Arial" w:hAnsi="Arial"/>
          <w:b/>
          <w:color w:val="auto"/>
          <w:sz w:val="22"/>
        </w:rPr>
        <w:t>400</w:t>
      </w:r>
      <w:r w:rsidRPr="00E222E3">
        <w:rPr>
          <w:rFonts w:ascii="Arial" w:hAnsi="Arial"/>
          <w:b/>
          <w:color w:val="auto"/>
          <w:sz w:val="22"/>
        </w:rPr>
        <w:t> 000 Kč</w:t>
      </w:r>
      <w:r w:rsidR="00565F7E" w:rsidRPr="00742ED9">
        <w:rPr>
          <w:rFonts w:ascii="Arial" w:hAnsi="Arial" w:cs="Arial"/>
          <w:b/>
          <w:color w:val="auto"/>
          <w:sz w:val="22"/>
          <w:szCs w:val="22"/>
        </w:rPr>
        <w:t>.</w:t>
      </w:r>
      <w:r w:rsidR="00565F7E" w:rsidRPr="00742ED9">
        <w:rPr>
          <w:rFonts w:ascii="Arial" w:hAnsi="Arial" w:cs="Arial"/>
          <w:color w:val="auto"/>
          <w:sz w:val="22"/>
          <w:szCs w:val="22"/>
        </w:rPr>
        <w:t xml:space="preserve"> </w:t>
      </w:r>
      <w:r w:rsidR="00565F7E" w:rsidRPr="001F544C">
        <w:rPr>
          <w:rFonts w:ascii="Arial" w:hAnsi="Arial" w:cs="Arial"/>
          <w:color w:val="auto"/>
          <w:sz w:val="22"/>
          <w:szCs w:val="22"/>
        </w:rPr>
        <w:t>Poskytovatel je povinen existenci uvedeného pojištění prokázat nejpozději při uzavření této smlouvy.</w:t>
      </w:r>
    </w:p>
    <w:p w14:paraId="657C2BDF" w14:textId="77777777"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14:paraId="67ABEFC3" w14:textId="77777777"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14:paraId="4A19FF4E" w14:textId="77777777" w:rsidR="00485E90" w:rsidRDefault="00485E90" w:rsidP="006A4509">
      <w:pPr>
        <w:pStyle w:val="Podnadpis1"/>
        <w:spacing w:before="0" w:after="120"/>
        <w:ind w:left="0"/>
        <w:rPr>
          <w:rFonts w:ascii="Arial" w:hAnsi="Arial" w:cs="Arial"/>
          <w:color w:val="auto"/>
          <w:sz w:val="22"/>
          <w:szCs w:val="22"/>
        </w:rPr>
      </w:pPr>
    </w:p>
    <w:p w14:paraId="626429A7" w14:textId="77777777" w:rsidR="006A4509" w:rsidRDefault="006A4509" w:rsidP="006A4509">
      <w:pPr>
        <w:pStyle w:val="Nadpis1"/>
        <w:spacing w:before="0" w:after="0"/>
        <w:jc w:val="center"/>
        <w:rPr>
          <w:rFonts w:cs="Arial"/>
          <w:sz w:val="24"/>
          <w:szCs w:val="24"/>
        </w:rPr>
      </w:pPr>
      <w:r w:rsidRPr="007548F4">
        <w:rPr>
          <w:rFonts w:cs="Arial"/>
          <w:sz w:val="24"/>
          <w:szCs w:val="24"/>
        </w:rPr>
        <w:t>Článek IV.</w:t>
      </w:r>
    </w:p>
    <w:p w14:paraId="379ECF19" w14:textId="77777777"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14:paraId="627BCD58" w14:textId="77777777"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14:paraId="42818BF3" w14:textId="77777777"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14:paraId="7EE2C117" w14:textId="77777777"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14:paraId="5C168B10" w14:textId="77777777" w:rsidR="006A4509" w:rsidRPr="007548F4" w:rsidRDefault="006A4509" w:rsidP="006A4509">
      <w:pPr>
        <w:pStyle w:val="Podnadpis1"/>
        <w:spacing w:before="0" w:after="120"/>
        <w:ind w:left="0"/>
        <w:rPr>
          <w:rFonts w:ascii="Arial" w:hAnsi="Arial" w:cs="Arial"/>
          <w:color w:val="auto"/>
          <w:sz w:val="22"/>
          <w:szCs w:val="22"/>
        </w:rPr>
      </w:pPr>
    </w:p>
    <w:p w14:paraId="67E1BA74" w14:textId="77777777"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14:paraId="59BAE595" w14:textId="77777777"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14:paraId="72065F1D" w14:textId="17238DEB"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14:paraId="797BE181" w14:textId="10842E9E" w:rsidR="006A4509" w:rsidRPr="002C183E"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sidR="002C183E" w:rsidRPr="002C183E">
        <w:rPr>
          <w:rFonts w:ascii="Arial" w:hAnsi="Arial"/>
          <w:b/>
          <w:sz w:val="22"/>
          <w:szCs w:val="22"/>
        </w:rPr>
        <w:t>127 000 Kč</w:t>
      </w:r>
      <w:r w:rsidRPr="002C183E">
        <w:rPr>
          <w:rFonts w:ascii="Arial" w:hAnsi="Arial" w:cs="Arial"/>
          <w:b/>
          <w:sz w:val="22"/>
          <w:szCs w:val="22"/>
        </w:rPr>
        <w:tab/>
      </w:r>
      <w:r w:rsidRPr="002C183E">
        <w:rPr>
          <w:rFonts w:ascii="Arial" w:hAnsi="Arial" w:cs="Arial"/>
          <w:sz w:val="22"/>
          <w:szCs w:val="22"/>
        </w:rPr>
        <w:t>(dále jen „smluvní odměna“)</w:t>
      </w:r>
    </w:p>
    <w:p w14:paraId="20870960" w14:textId="465E3805" w:rsidR="006A4509" w:rsidRPr="002C183E" w:rsidRDefault="006A4509" w:rsidP="006A4509">
      <w:pPr>
        <w:tabs>
          <w:tab w:val="right" w:pos="4536"/>
        </w:tabs>
        <w:spacing w:after="40"/>
        <w:ind w:left="720"/>
        <w:jc w:val="both"/>
        <w:rPr>
          <w:rFonts w:ascii="Arial" w:hAnsi="Arial" w:cs="Arial"/>
          <w:b/>
          <w:sz w:val="22"/>
          <w:szCs w:val="22"/>
        </w:rPr>
      </w:pPr>
      <w:r w:rsidRPr="002C183E">
        <w:rPr>
          <w:rFonts w:ascii="Arial" w:hAnsi="Arial" w:cs="Arial"/>
          <w:sz w:val="22"/>
          <w:szCs w:val="22"/>
        </w:rPr>
        <w:t>- částka DPH</w:t>
      </w:r>
      <w:r w:rsidRPr="002C183E">
        <w:rPr>
          <w:rFonts w:ascii="Arial" w:hAnsi="Arial" w:cs="Arial"/>
          <w:b/>
          <w:sz w:val="22"/>
          <w:szCs w:val="22"/>
        </w:rPr>
        <w:tab/>
      </w:r>
      <w:r w:rsidR="00BA7237">
        <w:rPr>
          <w:rFonts w:ascii="Arial" w:hAnsi="Arial"/>
          <w:b/>
          <w:sz w:val="22"/>
          <w:szCs w:val="22"/>
        </w:rPr>
        <w:t>26 670 Kč</w:t>
      </w:r>
    </w:p>
    <w:p w14:paraId="777F76EC" w14:textId="18C8B68A" w:rsidR="006A4509" w:rsidRPr="002C183E" w:rsidRDefault="006A4509" w:rsidP="006A4509">
      <w:pPr>
        <w:tabs>
          <w:tab w:val="right" w:pos="4536"/>
        </w:tabs>
        <w:spacing w:after="120"/>
        <w:ind w:left="720"/>
        <w:jc w:val="both"/>
        <w:rPr>
          <w:rFonts w:ascii="Arial" w:hAnsi="Arial"/>
          <w:b/>
          <w:sz w:val="22"/>
          <w:szCs w:val="22"/>
        </w:rPr>
      </w:pPr>
      <w:r w:rsidRPr="002C183E">
        <w:rPr>
          <w:rFonts w:ascii="Arial" w:hAnsi="Arial" w:cs="Arial"/>
          <w:sz w:val="22"/>
          <w:szCs w:val="22"/>
        </w:rPr>
        <w:t>- včetně DPH</w:t>
      </w:r>
      <w:r w:rsidRPr="002C183E">
        <w:rPr>
          <w:rFonts w:ascii="Arial" w:hAnsi="Arial" w:cs="Arial"/>
          <w:b/>
          <w:sz w:val="22"/>
          <w:szCs w:val="22"/>
        </w:rPr>
        <w:tab/>
      </w:r>
      <w:r w:rsidR="00BA7237">
        <w:rPr>
          <w:rFonts w:ascii="Arial" w:hAnsi="Arial"/>
          <w:b/>
          <w:sz w:val="22"/>
          <w:szCs w:val="22"/>
        </w:rPr>
        <w:t>153 670 Kč</w:t>
      </w:r>
    </w:p>
    <w:p w14:paraId="4998698B" w14:textId="5BB5A3E8" w:rsidR="002C71D6"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Smluvní odměna je stanovena na základě cenové nabídky poskytovatele jako</w:t>
      </w:r>
      <w:r w:rsidR="00F704EB">
        <w:rPr>
          <w:rFonts w:ascii="Arial" w:hAnsi="Arial" w:cs="Arial"/>
          <w:sz w:val="22"/>
          <w:szCs w:val="22"/>
        </w:rPr>
        <w:t xml:space="preserve"> předpokládaná</w:t>
      </w:r>
      <w:r>
        <w:rPr>
          <w:rFonts w:ascii="Arial" w:hAnsi="Arial" w:cs="Arial"/>
          <w:sz w:val="22"/>
          <w:szCs w:val="22"/>
        </w:rPr>
        <w:t xml:space="preserve"> </w:t>
      </w:r>
      <w:r w:rsidR="00F704EB">
        <w:rPr>
          <w:rFonts w:ascii="Arial" w:hAnsi="Arial" w:cs="Arial"/>
          <w:sz w:val="22"/>
          <w:szCs w:val="22"/>
        </w:rPr>
        <w:t xml:space="preserve">na základě </w:t>
      </w:r>
      <w:r w:rsidR="00ED4F6F">
        <w:rPr>
          <w:rFonts w:ascii="Arial" w:hAnsi="Arial" w:cs="Arial"/>
          <w:sz w:val="22"/>
          <w:szCs w:val="22"/>
        </w:rPr>
        <w:t xml:space="preserve">časového </w:t>
      </w:r>
      <w:r w:rsidR="00F704EB">
        <w:rPr>
          <w:rFonts w:ascii="Arial" w:hAnsi="Arial" w:cs="Arial"/>
          <w:sz w:val="22"/>
          <w:szCs w:val="22"/>
        </w:rPr>
        <w:t xml:space="preserve">rozsahu uvedeného v článku I. odst. 2.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14:paraId="7715DFEC" w14:textId="42854B29" w:rsidR="00692769" w:rsidRPr="00C23BB2" w:rsidRDefault="0069276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bCs/>
          <w:sz w:val="22"/>
          <w:szCs w:val="22"/>
        </w:rPr>
        <w:t xml:space="preserve">Doba plnění může být zkrácena nebo prodloužena s ohledem na </w:t>
      </w:r>
      <w:r w:rsidR="000062CA">
        <w:rPr>
          <w:rFonts w:ascii="Arial" w:hAnsi="Arial" w:cs="Arial"/>
          <w:bCs/>
          <w:sz w:val="22"/>
          <w:szCs w:val="22"/>
        </w:rPr>
        <w:t>skutečné trvání</w:t>
      </w:r>
      <w:r>
        <w:rPr>
          <w:rFonts w:ascii="Arial" w:hAnsi="Arial" w:cs="Arial"/>
          <w:bCs/>
          <w:sz w:val="22"/>
          <w:szCs w:val="22"/>
        </w:rPr>
        <w:t xml:space="preserve"> výstavby. </w:t>
      </w:r>
    </w:p>
    <w:p w14:paraId="1D3C4631" w14:textId="77777777"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Smluvní strany výslovně stanoví, že veškeré náklady poskytovatele jsou pokryty jeho smluvní odměnou v souladu bodem 1. tohoto článku. Poskytovatel nemá nárok na náhradu nákladů mimo sjednanou smluvní odměnu. Objednatel neposkytuje žádné zálohy.</w:t>
      </w:r>
    </w:p>
    <w:p w14:paraId="2C5D772E" w14:textId="5F56F834"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Poskytovatel </w:t>
      </w:r>
      <w:r w:rsidR="00692769">
        <w:rPr>
          <w:rFonts w:ascii="Arial" w:hAnsi="Arial" w:cs="Arial"/>
          <w:sz w:val="22"/>
          <w:szCs w:val="22"/>
        </w:rPr>
        <w:t xml:space="preserve">je oprávněn </w:t>
      </w:r>
      <w:r>
        <w:rPr>
          <w:rFonts w:ascii="Arial" w:hAnsi="Arial" w:cs="Arial"/>
          <w:sz w:val="22"/>
          <w:szCs w:val="22"/>
        </w:rPr>
        <w:t xml:space="preserve">fakturovat </w:t>
      </w:r>
      <w:r w:rsidR="00692769">
        <w:rPr>
          <w:rFonts w:ascii="Arial" w:hAnsi="Arial" w:cs="Arial"/>
          <w:sz w:val="22"/>
          <w:szCs w:val="22"/>
        </w:rPr>
        <w:t xml:space="preserve">jednou </w:t>
      </w:r>
      <w:r w:rsidR="00643385" w:rsidRPr="001F544C">
        <w:rPr>
          <w:rFonts w:ascii="Arial" w:hAnsi="Arial" w:cs="Arial"/>
          <w:b/>
          <w:sz w:val="22"/>
          <w:szCs w:val="22"/>
        </w:rPr>
        <w:t>měsíčně</w:t>
      </w:r>
      <w:r>
        <w:rPr>
          <w:rFonts w:ascii="Arial" w:hAnsi="Arial" w:cs="Arial"/>
          <w:sz w:val="22"/>
          <w:szCs w:val="22"/>
        </w:rPr>
        <w:t xml:space="preserve"> část smluvní odměny odpovídající </w:t>
      </w:r>
      <w:r w:rsidR="00692769">
        <w:rPr>
          <w:rFonts w:ascii="Arial" w:hAnsi="Arial" w:cs="Arial"/>
          <w:sz w:val="22"/>
          <w:szCs w:val="22"/>
        </w:rPr>
        <w:t xml:space="preserve">odměně za </w:t>
      </w:r>
      <w:r w:rsidR="00DB1386">
        <w:rPr>
          <w:rFonts w:ascii="Arial" w:hAnsi="Arial" w:cs="Arial"/>
          <w:sz w:val="22"/>
          <w:szCs w:val="22"/>
        </w:rPr>
        <w:t>zpravidla 4, nejvýše 5 týdnů poskytování služeb</w:t>
      </w:r>
      <w:r w:rsidR="000C5AC3">
        <w:rPr>
          <w:rFonts w:ascii="Arial" w:hAnsi="Arial" w:cs="Arial"/>
          <w:sz w:val="22"/>
          <w:szCs w:val="22"/>
        </w:rPr>
        <w:t>, tak aby byl v co největší míře dodržen princip měsíční fakturace.</w:t>
      </w:r>
      <w:r w:rsidR="0013410D">
        <w:rPr>
          <w:rFonts w:ascii="Arial" w:hAnsi="Arial" w:cs="Arial"/>
          <w:sz w:val="22"/>
          <w:szCs w:val="22"/>
        </w:rPr>
        <w:t xml:space="preserve"> Pro účely fakturace se prvním dnem týdne stanovuje den, na který připadlo předání a převzetí staveniště</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w:t>
      </w:r>
      <w:r>
        <w:rPr>
          <w:rFonts w:ascii="Arial" w:hAnsi="Arial" w:cs="Arial"/>
          <w:sz w:val="22"/>
          <w:szCs w:val="22"/>
        </w:rPr>
        <w:t>provedených činností</w:t>
      </w:r>
      <w:r w:rsidR="0013410D">
        <w:rPr>
          <w:rFonts w:ascii="Arial" w:hAnsi="Arial" w:cs="Arial"/>
          <w:sz w:val="22"/>
          <w:szCs w:val="22"/>
        </w:rPr>
        <w:t xml:space="preserve"> za každý fakturovaný týden</w:t>
      </w:r>
      <w:r>
        <w:rPr>
          <w:rFonts w:ascii="Arial" w:hAnsi="Arial" w:cs="Arial"/>
          <w:sz w:val="22"/>
          <w:szCs w:val="22"/>
        </w:rPr>
        <w:t>.</w:t>
      </w:r>
    </w:p>
    <w:p w14:paraId="18B1EE17" w14:textId="77777777"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lastRenderedPageBreak/>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14:paraId="7D079BAE" w14:textId="12920EBC" w:rsidR="002C71D6" w:rsidRDefault="0069276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Splatnost faktur činí</w:t>
      </w:r>
      <w:r w:rsidR="002C71D6">
        <w:rPr>
          <w:rFonts w:ascii="Arial" w:hAnsi="Arial" w:cs="Arial"/>
          <w:sz w:val="22"/>
          <w:szCs w:val="22"/>
        </w:rPr>
        <w:t xml:space="preserve">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sidR="002C71D6">
        <w:rPr>
          <w:rFonts w:ascii="Arial" w:hAnsi="Arial" w:cs="Arial"/>
          <w:sz w:val="22"/>
          <w:szCs w:val="22"/>
        </w:rPr>
        <w:t>t</w:t>
      </w:r>
      <w:r w:rsidR="00D210B3">
        <w:rPr>
          <w:rFonts w:ascii="Arial" w:hAnsi="Arial" w:cs="Arial"/>
          <w:sz w:val="22"/>
          <w:szCs w:val="22"/>
        </w:rPr>
        <w:t>u poskytovatele.</w:t>
      </w:r>
    </w:p>
    <w:p w14:paraId="27EC4C50" w14:textId="13CE4A4F" w:rsidR="002C71D6" w:rsidRDefault="00692769" w:rsidP="00692769">
      <w:pPr>
        <w:numPr>
          <w:ilvl w:val="0"/>
          <w:numId w:val="7"/>
        </w:numPr>
        <w:tabs>
          <w:tab w:val="clear" w:pos="720"/>
        </w:tabs>
        <w:suppressAutoHyphens/>
        <w:spacing w:after="120"/>
        <w:ind w:left="426" w:hanging="426"/>
        <w:jc w:val="both"/>
        <w:rPr>
          <w:rFonts w:ascii="Arial" w:hAnsi="Arial" w:cs="Arial"/>
          <w:sz w:val="22"/>
          <w:szCs w:val="22"/>
        </w:rPr>
      </w:pPr>
      <w:r w:rsidRPr="00692769">
        <w:rPr>
          <w:rFonts w:ascii="Arial" w:hAnsi="Arial" w:cs="Arial"/>
          <w:sz w:val="22"/>
          <w:szCs w:val="22"/>
        </w:rPr>
        <w:t>Faktura musí obsahovat veškeré náležitosti daňového dokladu podle platných obecně závazných právních předpisů. Objednatel si vyhrazuje právo před uplynutím termínu splatnosti vrátit fakturu, pokud neobsahuje požadované náležitosti nebo obsahuje nesprávné cenové údaje. Oprávněným vrácením faktury přestává platit původní termín splatnosti. Od doručení opravené nebo přepracované faktury běží splatnost od počátku.</w:t>
      </w:r>
    </w:p>
    <w:p w14:paraId="2F385455" w14:textId="77777777" w:rsidR="009A1FAC" w:rsidRDefault="009A1FAC" w:rsidP="003A52B3">
      <w:pPr>
        <w:pStyle w:val="Podnadpis1"/>
        <w:spacing w:before="0"/>
        <w:ind w:left="0"/>
        <w:rPr>
          <w:rFonts w:ascii="Arial" w:hAnsi="Arial" w:cs="Arial"/>
          <w:color w:val="auto"/>
          <w:sz w:val="22"/>
          <w:szCs w:val="22"/>
        </w:rPr>
      </w:pPr>
    </w:p>
    <w:p w14:paraId="1F080E5B" w14:textId="77777777"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14:paraId="131B8BDC" w14:textId="77777777"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14:paraId="22D11F63" w14:textId="35FB817D"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Smlouva se uzavírá</w:t>
      </w:r>
      <w:r w:rsidR="00692769">
        <w:rPr>
          <w:rFonts w:ascii="Arial" w:hAnsi="Arial" w:cs="Arial"/>
          <w:sz w:val="22"/>
          <w:szCs w:val="22"/>
        </w:rPr>
        <w:t xml:space="preserve"> na dobu určitou, a to</w:t>
      </w:r>
      <w:r w:rsidRPr="007548F4">
        <w:rPr>
          <w:rFonts w:ascii="Arial" w:hAnsi="Arial" w:cs="Arial"/>
          <w:sz w:val="22"/>
          <w:szCs w:val="22"/>
        </w:rPr>
        <w:t xml:space="preserve">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r w:rsidR="00A521AA">
        <w:rPr>
          <w:rFonts w:ascii="Arial" w:hAnsi="Arial" w:cs="Arial"/>
          <w:sz w:val="22"/>
          <w:szCs w:val="22"/>
        </w:rPr>
        <w:t xml:space="preserve"> vykonáním poslední z činností uvedených v článku II. této smlouvy v souvislosti s</w:t>
      </w:r>
    </w:p>
    <w:p w14:paraId="4BADCFBD"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14:paraId="66075708"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14:paraId="42A2B1C9" w14:textId="77777777"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14:paraId="768B4ABA" w14:textId="240E2191"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435C27">
        <w:rPr>
          <w:rFonts w:ascii="Arial" w:hAnsi="Arial" w:cs="Arial"/>
          <w:sz w:val="22"/>
          <w:szCs w:val="22"/>
        </w:rPr>
        <w:t>.</w:t>
      </w:r>
    </w:p>
    <w:p w14:paraId="58BEB230" w14:textId="77777777"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14:paraId="26C6B594" w14:textId="0D76B9A3"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 xml:space="preserve">oboustrannou vzájemnou dohodou, a to pouze písemnou formou s tím, že </w:t>
      </w:r>
      <w:r w:rsidR="00692769">
        <w:rPr>
          <w:rFonts w:ascii="Arial" w:hAnsi="Arial" w:cs="Arial"/>
          <w:color w:val="000000"/>
          <w:sz w:val="22"/>
          <w:szCs w:val="22"/>
        </w:rPr>
        <w:t xml:space="preserve">doba trvání </w:t>
      </w:r>
      <w:r>
        <w:rPr>
          <w:rFonts w:ascii="Arial" w:hAnsi="Arial" w:cs="Arial"/>
          <w:color w:val="000000"/>
          <w:sz w:val="22"/>
          <w:szCs w:val="22"/>
        </w:rPr>
        <w:t>předmětné smlouvy končí dnem uvedeným v této dohodě, nebo</w:t>
      </w:r>
    </w:p>
    <w:p w14:paraId="3030B5F3" w14:textId="77777777"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14:paraId="57C0F42E" w14:textId="77777777"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14:paraId="20647ECD" w14:textId="77777777"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14:paraId="4A613C23" w14:textId="77777777"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14:paraId="0F4CF75D" w14:textId="77777777"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14:paraId="16BA6CCD" w14:textId="77777777"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14:paraId="08ECA8ED" w14:textId="77777777" w:rsidR="00A538F6" w:rsidRDefault="00A538F6" w:rsidP="00DE3725">
      <w:pPr>
        <w:pStyle w:val="Podnadpis1"/>
        <w:spacing w:before="0"/>
        <w:ind w:left="0"/>
        <w:rPr>
          <w:rFonts w:ascii="Arial" w:hAnsi="Arial" w:cs="Arial"/>
          <w:color w:val="auto"/>
          <w:sz w:val="22"/>
          <w:szCs w:val="22"/>
        </w:rPr>
      </w:pPr>
    </w:p>
    <w:p w14:paraId="7A194544" w14:textId="77777777"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t>Článek VI</w:t>
      </w:r>
      <w:r w:rsidR="00DE3725" w:rsidRPr="00DE3725">
        <w:rPr>
          <w:rFonts w:ascii="Arial" w:hAnsi="Arial" w:cs="Arial"/>
          <w:b/>
          <w:sz w:val="24"/>
          <w:szCs w:val="24"/>
        </w:rPr>
        <w:t>I</w:t>
      </w:r>
      <w:r w:rsidRPr="00DE3725">
        <w:rPr>
          <w:rFonts w:ascii="Arial" w:hAnsi="Arial" w:cs="Arial"/>
          <w:b/>
          <w:sz w:val="24"/>
          <w:szCs w:val="24"/>
        </w:rPr>
        <w:t>.</w:t>
      </w:r>
    </w:p>
    <w:p w14:paraId="3683323F" w14:textId="77777777"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14:paraId="622B6E21" w14:textId="77777777"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14:paraId="372CE0A0" w14:textId="655E9F42" w:rsidR="00661F3E" w:rsidRPr="00661F3E" w:rsidRDefault="0013410D" w:rsidP="00CC70ED">
      <w:pPr>
        <w:numPr>
          <w:ilvl w:val="0"/>
          <w:numId w:val="13"/>
        </w:numPr>
        <w:spacing w:after="60"/>
        <w:ind w:left="709" w:hanging="283"/>
        <w:jc w:val="both"/>
        <w:rPr>
          <w:rFonts w:ascii="Arial" w:hAnsi="Arial" w:cs="Arial"/>
          <w:sz w:val="22"/>
          <w:szCs w:val="22"/>
        </w:rPr>
      </w:pPr>
      <w:r>
        <w:rPr>
          <w:rFonts w:ascii="Arial" w:hAnsi="Arial" w:cs="Arial"/>
          <w:sz w:val="22"/>
          <w:szCs w:val="22"/>
        </w:rPr>
        <w:lastRenderedPageBreak/>
        <w:t>jedné poloviny týdenní odměny</w:t>
      </w:r>
      <w:r w:rsidR="00661F3E">
        <w:rPr>
          <w:rFonts w:ascii="Arial" w:hAnsi="Arial" w:cs="Arial"/>
          <w:sz w:val="22"/>
          <w:szCs w:val="22"/>
        </w:rPr>
        <w:t>, nejméně však 5 0</w:t>
      </w:r>
      <w:r w:rsidR="00661F3E" w:rsidRPr="00661F3E">
        <w:rPr>
          <w:rFonts w:ascii="Arial" w:hAnsi="Arial" w:cs="Arial"/>
          <w:sz w:val="22"/>
          <w:szCs w:val="22"/>
        </w:rPr>
        <w:t>00 Kč,</w:t>
      </w:r>
      <w:r w:rsidR="00DE3725" w:rsidRPr="00661F3E">
        <w:rPr>
          <w:rFonts w:ascii="Arial" w:hAnsi="Arial" w:cs="Arial"/>
          <w:sz w:val="22"/>
          <w:szCs w:val="22"/>
        </w:rPr>
        <w:t xml:space="preserve"> </w:t>
      </w:r>
      <w:r w:rsidR="00661F3E" w:rsidRPr="00661F3E">
        <w:rPr>
          <w:rFonts w:ascii="Arial" w:hAnsi="Arial" w:cs="Arial"/>
          <w:sz w:val="22"/>
          <w:szCs w:val="22"/>
        </w:rPr>
        <w:t>za porušení smlouvy klasifikované jako podstatné</w:t>
      </w:r>
      <w:r w:rsidR="009F63CC">
        <w:rPr>
          <w:rFonts w:ascii="Arial" w:hAnsi="Arial" w:cs="Arial"/>
          <w:sz w:val="22"/>
          <w:szCs w:val="22"/>
        </w:rPr>
        <w:t>,</w:t>
      </w:r>
    </w:p>
    <w:p w14:paraId="4FB21E89" w14:textId="77777777"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14:paraId="7F4A4163" w14:textId="287B547B" w:rsidR="009F63CC" w:rsidRDefault="0013410D" w:rsidP="00CC70ED">
      <w:pPr>
        <w:numPr>
          <w:ilvl w:val="0"/>
          <w:numId w:val="13"/>
        </w:numPr>
        <w:spacing w:after="60"/>
        <w:ind w:left="709" w:hanging="284"/>
        <w:jc w:val="both"/>
        <w:rPr>
          <w:rFonts w:ascii="Arial" w:hAnsi="Arial" w:cs="Arial"/>
          <w:sz w:val="22"/>
          <w:szCs w:val="22"/>
        </w:rPr>
      </w:pPr>
      <w:r>
        <w:rPr>
          <w:rFonts w:ascii="Arial" w:hAnsi="Arial" w:cs="Arial"/>
          <w:sz w:val="22"/>
          <w:szCs w:val="22"/>
        </w:rPr>
        <w:t>trojnásobku</w:t>
      </w:r>
      <w:r w:rsidRPr="0013410D">
        <w:rPr>
          <w:rFonts w:ascii="Arial" w:hAnsi="Arial" w:cs="Arial"/>
          <w:sz w:val="22"/>
          <w:szCs w:val="22"/>
        </w:rPr>
        <w:t xml:space="preserve"> </w:t>
      </w:r>
      <w:r>
        <w:rPr>
          <w:rFonts w:ascii="Arial" w:hAnsi="Arial" w:cs="Arial"/>
          <w:sz w:val="22"/>
          <w:szCs w:val="22"/>
        </w:rPr>
        <w:t>týdenní odměny</w:t>
      </w:r>
      <w:r w:rsidR="009F63CC">
        <w:rPr>
          <w:rFonts w:ascii="Arial" w:hAnsi="Arial" w:cs="Arial"/>
          <w:sz w:val="22"/>
          <w:szCs w:val="22"/>
        </w:rPr>
        <w:t xml:space="preserve">, nejméně však </w:t>
      </w:r>
      <w:r>
        <w:rPr>
          <w:rFonts w:ascii="Arial" w:hAnsi="Arial" w:cs="Arial"/>
          <w:sz w:val="22"/>
          <w:szCs w:val="22"/>
        </w:rPr>
        <w:t>30 </w:t>
      </w:r>
      <w:r w:rsidR="009F63CC">
        <w:rPr>
          <w:rFonts w:ascii="Arial" w:hAnsi="Arial" w:cs="Arial"/>
          <w:sz w:val="22"/>
          <w:szCs w:val="22"/>
        </w:rPr>
        <w:t>000 Kč, v případě podstatného porušení smlouvy, pro které objednatel od smlouvy odstoupil,</w:t>
      </w:r>
    </w:p>
    <w:p w14:paraId="5EBB6814" w14:textId="77777777"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14:paraId="56949D82" w14:textId="77777777"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14:paraId="1E6B60B1" w14:textId="77777777"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14:paraId="18691F53" w14:textId="77777777"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14:paraId="13E36F66" w14:textId="0F70D1AE"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w:t>
      </w:r>
      <w:r w:rsidR="0051626B">
        <w:rPr>
          <w:rFonts w:ascii="Arial" w:hAnsi="Arial" w:cs="Arial"/>
          <w:sz w:val="22"/>
          <w:szCs w:val="22"/>
        </w:rPr>
        <w:t xml:space="preserve">pohledávek </w:t>
      </w:r>
      <w:r>
        <w:rPr>
          <w:rFonts w:ascii="Arial" w:hAnsi="Arial" w:cs="Arial"/>
          <w:sz w:val="22"/>
          <w:szCs w:val="22"/>
        </w:rPr>
        <w:t xml:space="preserve">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14:paraId="17355108" w14:textId="77777777"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14:paraId="7372637D" w14:textId="14E71E5C"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w:t>
      </w:r>
      <w:r w:rsidR="0051626B">
        <w:rPr>
          <w:rFonts w:ascii="Arial" w:hAnsi="Arial" w:cs="Arial"/>
          <w:sz w:val="22"/>
          <w:szCs w:val="22"/>
        </w:rPr>
        <w:t>.</w:t>
      </w:r>
      <w:r w:rsidRPr="001E3777">
        <w:rPr>
          <w:rFonts w:ascii="Arial" w:hAnsi="Arial" w:cs="Arial"/>
          <w:sz w:val="22"/>
          <w:szCs w:val="22"/>
        </w:rPr>
        <w:t xml:space="preserve"> smlouvy je poskytovatel oprávněn uplatňovat </w:t>
      </w:r>
      <w:r w:rsidR="0051626B">
        <w:rPr>
          <w:rFonts w:ascii="Arial" w:hAnsi="Arial" w:cs="Arial"/>
          <w:sz w:val="22"/>
          <w:szCs w:val="22"/>
        </w:rPr>
        <w:t>úrok z prodlení v zákonem stanovené výši</w:t>
      </w:r>
      <w:r w:rsidRPr="001E3777">
        <w:rPr>
          <w:rFonts w:ascii="Arial" w:hAnsi="Arial" w:cs="Arial"/>
          <w:sz w:val="22"/>
          <w:szCs w:val="22"/>
        </w:rPr>
        <w:t>.</w:t>
      </w:r>
    </w:p>
    <w:p w14:paraId="065FAC79" w14:textId="77777777" w:rsidR="00CD679B" w:rsidRDefault="00CD679B" w:rsidP="009A1FAC">
      <w:pPr>
        <w:pStyle w:val="Podnadpis1"/>
        <w:spacing w:before="0"/>
        <w:rPr>
          <w:rFonts w:ascii="Arial" w:hAnsi="Arial" w:cs="Arial"/>
          <w:color w:val="auto"/>
          <w:sz w:val="22"/>
          <w:szCs w:val="22"/>
        </w:rPr>
      </w:pPr>
    </w:p>
    <w:p w14:paraId="1F684D64" w14:textId="77777777"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14:paraId="7F6DA7FA" w14:textId="77777777"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14:paraId="2CD219EF" w14:textId="77777777"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14:paraId="13399FE6" w14:textId="77777777"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14:paraId="24B7E544" w14:textId="77777777"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14:paraId="4EC3F3F2" w14:textId="77777777"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t>S ohledem na právní úpravu zákona č. 340/2015 Sb., o registru smluv, v platném znění, ujednávají smluvní strany následující:</w:t>
      </w:r>
    </w:p>
    <w:p w14:paraId="4E727A08" w14:textId="77777777"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14:paraId="18C06D0F" w14:textId="77777777"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14:paraId="29249E5C" w14:textId="77777777"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w:t>
      </w:r>
      <w:proofErr w:type="spellStart"/>
      <w:r w:rsidRPr="00BA1732">
        <w:rPr>
          <w:rFonts w:ascii="Arial" w:hAnsi="Arial" w:cs="Arial"/>
          <w:sz w:val="22"/>
          <w:szCs w:val="24"/>
          <w:lang w:eastAsia="ar-SA"/>
        </w:rPr>
        <w:t>ust</w:t>
      </w:r>
      <w:proofErr w:type="spellEnd"/>
      <w:r w:rsidRPr="00BA1732">
        <w:rPr>
          <w:rFonts w:ascii="Arial" w:hAnsi="Arial" w:cs="Arial"/>
          <w:sz w:val="22"/>
          <w:szCs w:val="24"/>
          <w:lang w:eastAsia="ar-SA"/>
        </w:rPr>
        <w:t>. § 504 občanského zákoníku.</w:t>
      </w:r>
    </w:p>
    <w:p w14:paraId="7CDBF4F4" w14:textId="7D8DA7CF"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lastRenderedPageBreak/>
        <w:t xml:space="preserve">Smluvní strany berou na vědomí, že nebude-li smlouva zveřejněna ani </w:t>
      </w:r>
      <w:r w:rsidR="0051626B">
        <w:rPr>
          <w:rFonts w:ascii="Arial" w:hAnsi="Arial" w:cs="Arial"/>
          <w:sz w:val="22"/>
          <w:szCs w:val="24"/>
          <w:lang w:eastAsia="ar-SA"/>
        </w:rPr>
        <w:t>do tří měsíců</w:t>
      </w:r>
      <w:r w:rsidRPr="00BA1732">
        <w:rPr>
          <w:rFonts w:ascii="Arial" w:hAnsi="Arial" w:cs="Arial"/>
          <w:sz w:val="22"/>
          <w:szCs w:val="24"/>
          <w:lang w:eastAsia="ar-SA"/>
        </w:rPr>
        <w:t xml:space="preserve"> od jejího uzavření, je následujícím dnem zrušena od počátku.</w:t>
      </w:r>
    </w:p>
    <w:p w14:paraId="1D512410" w14:textId="125F56E0" w:rsidR="00854DFB" w:rsidRPr="00854DFB" w:rsidRDefault="00854DFB" w:rsidP="00CC70ED">
      <w:pPr>
        <w:numPr>
          <w:ilvl w:val="0"/>
          <w:numId w:val="9"/>
        </w:numPr>
        <w:spacing w:after="120" w:line="240" w:lineRule="exact"/>
        <w:ind w:left="425" w:hanging="425"/>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w:t>
      </w:r>
    </w:p>
    <w:p w14:paraId="7628BAD4" w14:textId="529AB4CC" w:rsidR="00A16FD8" w:rsidRDefault="00A16FD8" w:rsidP="00CC70ED">
      <w:pPr>
        <w:numPr>
          <w:ilvl w:val="0"/>
          <w:numId w:val="9"/>
        </w:numPr>
        <w:spacing w:after="120" w:line="240" w:lineRule="exact"/>
        <w:ind w:left="425" w:hanging="425"/>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w:t>
      </w:r>
      <w:r w:rsidR="002C183E">
        <w:rPr>
          <w:rFonts w:ascii="Arial" w:hAnsi="Arial" w:cs="Arial"/>
          <w:sz w:val="22"/>
          <w:szCs w:val="22"/>
        </w:rPr>
        <w:t> </w:t>
      </w:r>
      <w:r w:rsidRPr="0044619C">
        <w:rPr>
          <w:rFonts w:ascii="Arial" w:hAnsi="Arial" w:cs="Arial"/>
          <w:sz w:val="22"/>
          <w:szCs w:val="22"/>
        </w:rPr>
        <w:t>srozumitelná, jsou jimi míněna vážně a byla učiněna na základě jejich pravé a svobodné vůle. Na důkaz tohoto tvrzení smluvní strany připojují níže své podpisy.</w:t>
      </w:r>
    </w:p>
    <w:p w14:paraId="6415077F" w14:textId="77777777" w:rsidR="00FD733C" w:rsidRDefault="00FD733C" w:rsidP="0044619C">
      <w:pPr>
        <w:pStyle w:val="Zkladntext"/>
        <w:rPr>
          <w:rFonts w:ascii="Arial" w:hAnsi="Arial" w:cs="Arial"/>
          <w:color w:val="auto"/>
          <w:sz w:val="22"/>
          <w:szCs w:val="22"/>
        </w:rPr>
      </w:pPr>
    </w:p>
    <w:p w14:paraId="397338AA" w14:textId="6F3F2255" w:rsidR="0044619C" w:rsidRDefault="000653B8" w:rsidP="0044619C">
      <w:pPr>
        <w:pStyle w:val="Zkladntext"/>
        <w:rPr>
          <w:rFonts w:ascii="Arial" w:hAnsi="Arial" w:cs="Arial"/>
          <w:color w:val="auto"/>
          <w:sz w:val="22"/>
          <w:szCs w:val="22"/>
        </w:rPr>
      </w:pPr>
      <w:r>
        <w:rPr>
          <w:rFonts w:ascii="Arial" w:hAnsi="Arial" w:cs="Arial"/>
          <w:color w:val="auto"/>
          <w:sz w:val="22"/>
          <w:szCs w:val="22"/>
        </w:rPr>
        <w:t>V </w:t>
      </w:r>
      <w:r w:rsidR="000958BE">
        <w:rPr>
          <w:rFonts w:ascii="Arial" w:hAnsi="Arial" w:cs="Arial"/>
          <w:color w:val="auto"/>
          <w:sz w:val="22"/>
          <w:szCs w:val="22"/>
        </w:rPr>
        <w:t>Holicích</w:t>
      </w:r>
      <w:r w:rsidR="0044619C">
        <w:rPr>
          <w:rFonts w:ascii="Arial" w:hAnsi="Arial" w:cs="Arial"/>
          <w:color w:val="auto"/>
          <w:sz w:val="22"/>
          <w:szCs w:val="22"/>
        </w:rPr>
        <w:t xml:space="preserve"> </w:t>
      </w:r>
    </w:p>
    <w:p w14:paraId="1451AD2C" w14:textId="77777777"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677"/>
        <w:gridCol w:w="4677"/>
      </w:tblGrid>
      <w:tr w:rsidR="003A52B3" w:rsidRPr="00CC70ED" w14:paraId="6A32B1D8" w14:textId="77777777" w:rsidTr="007E455C">
        <w:tc>
          <w:tcPr>
            <w:tcW w:w="4677" w:type="dxa"/>
            <w:shd w:val="clear" w:color="auto" w:fill="auto"/>
            <w:vAlign w:val="center"/>
          </w:tcPr>
          <w:p w14:paraId="1C6D3B8A" w14:textId="77777777"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677" w:type="dxa"/>
            <w:shd w:val="clear" w:color="auto" w:fill="auto"/>
            <w:vAlign w:val="center"/>
          </w:tcPr>
          <w:p w14:paraId="2591ECB5" w14:textId="77777777"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14:paraId="2E69DD6F" w14:textId="77777777" w:rsidTr="007E455C">
        <w:tc>
          <w:tcPr>
            <w:tcW w:w="4677" w:type="dxa"/>
            <w:shd w:val="clear" w:color="auto" w:fill="auto"/>
            <w:vAlign w:val="center"/>
          </w:tcPr>
          <w:p w14:paraId="35DDA05C"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125DAAB0"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2C3CBC5E" w14:textId="77777777" w:rsidTr="007E455C">
        <w:tc>
          <w:tcPr>
            <w:tcW w:w="4677" w:type="dxa"/>
            <w:shd w:val="clear" w:color="auto" w:fill="auto"/>
            <w:vAlign w:val="center"/>
          </w:tcPr>
          <w:p w14:paraId="2E60A758"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4D00A167"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0071D02D" w14:textId="77777777" w:rsidTr="007E455C">
        <w:tc>
          <w:tcPr>
            <w:tcW w:w="4677" w:type="dxa"/>
            <w:shd w:val="clear" w:color="auto" w:fill="auto"/>
            <w:vAlign w:val="center"/>
          </w:tcPr>
          <w:p w14:paraId="6007ABDF"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21597888"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4F23C705" w14:textId="77777777" w:rsidTr="007E455C">
        <w:tc>
          <w:tcPr>
            <w:tcW w:w="4677" w:type="dxa"/>
            <w:shd w:val="clear" w:color="auto" w:fill="auto"/>
            <w:vAlign w:val="center"/>
          </w:tcPr>
          <w:p w14:paraId="294C0EDD"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677" w:type="dxa"/>
            <w:shd w:val="clear" w:color="auto" w:fill="auto"/>
            <w:vAlign w:val="center"/>
          </w:tcPr>
          <w:p w14:paraId="65E2F6D2" w14:textId="77777777"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14:paraId="61615F22" w14:textId="77777777" w:rsidTr="007E455C">
        <w:tc>
          <w:tcPr>
            <w:tcW w:w="4677" w:type="dxa"/>
            <w:shd w:val="clear" w:color="auto" w:fill="auto"/>
            <w:vAlign w:val="center"/>
          </w:tcPr>
          <w:p w14:paraId="2A96DC31" w14:textId="77777777"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677" w:type="dxa"/>
            <w:shd w:val="clear" w:color="auto" w:fill="auto"/>
            <w:vAlign w:val="center"/>
          </w:tcPr>
          <w:p w14:paraId="788A0150" w14:textId="77777777"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14:paraId="38057C42" w14:textId="77777777" w:rsidTr="007E455C">
        <w:tc>
          <w:tcPr>
            <w:tcW w:w="4677" w:type="dxa"/>
            <w:shd w:val="clear" w:color="auto" w:fill="auto"/>
            <w:vAlign w:val="center"/>
          </w:tcPr>
          <w:p w14:paraId="6F8B8BF7" w14:textId="39A1DFB3" w:rsidR="003A52B3" w:rsidRPr="00C72FEF" w:rsidRDefault="000958BE" w:rsidP="00CC70ED">
            <w:pPr>
              <w:pStyle w:val="Zkladntext"/>
              <w:tabs>
                <w:tab w:val="left" w:pos="3060"/>
              </w:tabs>
              <w:spacing w:before="20" w:after="20"/>
              <w:jc w:val="center"/>
              <w:rPr>
                <w:rFonts w:ascii="Arial" w:hAnsi="Arial"/>
                <w:color w:val="auto"/>
                <w:sz w:val="22"/>
                <w:highlight w:val="yellow"/>
              </w:rPr>
            </w:pPr>
            <w:r>
              <w:rPr>
                <w:rFonts w:ascii="Arial" w:hAnsi="Arial"/>
                <w:b/>
                <w:sz w:val="22"/>
              </w:rPr>
              <w:t>Gymnázium Dr. Emila Holuba</w:t>
            </w:r>
          </w:p>
        </w:tc>
        <w:tc>
          <w:tcPr>
            <w:tcW w:w="4677" w:type="dxa"/>
            <w:shd w:val="clear" w:color="auto" w:fill="auto"/>
            <w:vAlign w:val="center"/>
          </w:tcPr>
          <w:p w14:paraId="57858328" w14:textId="23ABE814" w:rsidR="003A52B3" w:rsidRPr="00AC54F3" w:rsidRDefault="00AC54F3" w:rsidP="00CC70ED">
            <w:pPr>
              <w:pStyle w:val="Zkladntext"/>
              <w:spacing w:before="20" w:after="20"/>
              <w:jc w:val="center"/>
              <w:rPr>
                <w:rFonts w:ascii="Arial" w:hAnsi="Arial" w:cs="Arial"/>
                <w:b/>
                <w:color w:val="auto"/>
                <w:sz w:val="22"/>
                <w:szCs w:val="22"/>
              </w:rPr>
            </w:pPr>
            <w:r w:rsidRPr="00AC54F3">
              <w:rPr>
                <w:rFonts w:ascii="Arial" w:hAnsi="Arial" w:cs="Arial"/>
                <w:b/>
                <w:color w:val="auto"/>
                <w:sz w:val="22"/>
                <w:szCs w:val="22"/>
              </w:rPr>
              <w:t>AZ OPTIMAL s.r.o.</w:t>
            </w:r>
          </w:p>
        </w:tc>
      </w:tr>
      <w:tr w:rsidR="003A52B3" w:rsidRPr="00CC70ED" w14:paraId="23DD8355" w14:textId="77777777" w:rsidTr="007E455C">
        <w:tc>
          <w:tcPr>
            <w:tcW w:w="4677" w:type="dxa"/>
            <w:shd w:val="clear" w:color="auto" w:fill="auto"/>
            <w:vAlign w:val="center"/>
          </w:tcPr>
          <w:p w14:paraId="457CCAF1" w14:textId="641A7AE4" w:rsidR="003A52B3" w:rsidRPr="000958BE" w:rsidRDefault="001F544C" w:rsidP="00CC70ED">
            <w:pPr>
              <w:pStyle w:val="Zkladntext"/>
              <w:tabs>
                <w:tab w:val="left" w:pos="3060"/>
              </w:tabs>
              <w:spacing w:before="20" w:after="20"/>
              <w:jc w:val="center"/>
              <w:rPr>
                <w:rFonts w:ascii="Arial" w:hAnsi="Arial"/>
                <w:color w:val="auto"/>
                <w:sz w:val="22"/>
              </w:rPr>
            </w:pPr>
            <w:r w:rsidRPr="000958BE">
              <w:rPr>
                <w:rFonts w:ascii="Arial" w:hAnsi="Arial"/>
                <w:sz w:val="22"/>
              </w:rPr>
              <w:t xml:space="preserve">Mgr. </w:t>
            </w:r>
            <w:r w:rsidR="000958BE">
              <w:rPr>
                <w:rFonts w:ascii="Arial" w:hAnsi="Arial"/>
                <w:sz w:val="22"/>
              </w:rPr>
              <w:t>Andrea Daňková</w:t>
            </w:r>
          </w:p>
        </w:tc>
        <w:tc>
          <w:tcPr>
            <w:tcW w:w="4677" w:type="dxa"/>
            <w:shd w:val="clear" w:color="auto" w:fill="auto"/>
            <w:vAlign w:val="center"/>
          </w:tcPr>
          <w:p w14:paraId="5F8246A8" w14:textId="09E226FF" w:rsidR="003A52B3" w:rsidRPr="00CC70ED" w:rsidRDefault="00AC54F3" w:rsidP="00CC70ED">
            <w:pPr>
              <w:pStyle w:val="Zkladntext"/>
              <w:tabs>
                <w:tab w:val="left" w:pos="3060"/>
              </w:tabs>
              <w:spacing w:before="20" w:after="20"/>
              <w:jc w:val="center"/>
              <w:rPr>
                <w:rFonts w:ascii="Arial" w:hAnsi="Arial" w:cs="Arial"/>
                <w:color w:val="auto"/>
                <w:sz w:val="22"/>
                <w:szCs w:val="22"/>
              </w:rPr>
            </w:pPr>
            <w:proofErr w:type="spellStart"/>
            <w:r>
              <w:rPr>
                <w:rFonts w:ascii="Arial" w:hAnsi="Arial" w:cs="Arial"/>
                <w:color w:val="auto"/>
                <w:sz w:val="22"/>
                <w:szCs w:val="22"/>
              </w:rPr>
              <w:t>Yvone</w:t>
            </w:r>
            <w:proofErr w:type="spellEnd"/>
            <w:r>
              <w:rPr>
                <w:rFonts w:ascii="Arial" w:hAnsi="Arial" w:cs="Arial"/>
                <w:color w:val="auto"/>
                <w:sz w:val="22"/>
                <w:szCs w:val="22"/>
              </w:rPr>
              <w:t xml:space="preserve"> </w:t>
            </w:r>
            <w:proofErr w:type="spellStart"/>
            <w:r>
              <w:rPr>
                <w:rFonts w:ascii="Arial" w:hAnsi="Arial" w:cs="Arial"/>
                <w:color w:val="auto"/>
                <w:sz w:val="22"/>
                <w:szCs w:val="22"/>
              </w:rPr>
              <w:t>Breberová</w:t>
            </w:r>
            <w:proofErr w:type="spellEnd"/>
          </w:p>
        </w:tc>
      </w:tr>
      <w:tr w:rsidR="003A52B3" w:rsidRPr="00CC70ED" w14:paraId="51243317" w14:textId="77777777" w:rsidTr="007E455C">
        <w:tc>
          <w:tcPr>
            <w:tcW w:w="4677" w:type="dxa"/>
            <w:shd w:val="clear" w:color="auto" w:fill="auto"/>
            <w:vAlign w:val="center"/>
          </w:tcPr>
          <w:p w14:paraId="040427BA" w14:textId="6B2DCDD7" w:rsidR="003A52B3" w:rsidRPr="000958BE" w:rsidRDefault="000958BE" w:rsidP="0051626B">
            <w:pPr>
              <w:pStyle w:val="Zkladntext"/>
              <w:tabs>
                <w:tab w:val="left" w:pos="3060"/>
              </w:tabs>
              <w:spacing w:before="20" w:after="20"/>
              <w:jc w:val="center"/>
              <w:rPr>
                <w:rFonts w:ascii="Arial" w:hAnsi="Arial"/>
                <w:color w:val="auto"/>
                <w:sz w:val="22"/>
              </w:rPr>
            </w:pPr>
            <w:r>
              <w:rPr>
                <w:rFonts w:ascii="Arial" w:hAnsi="Arial"/>
                <w:sz w:val="22"/>
              </w:rPr>
              <w:t>ředitelka</w:t>
            </w:r>
            <w:r w:rsidR="00132554" w:rsidRPr="000958BE">
              <w:rPr>
                <w:rFonts w:ascii="Arial" w:hAnsi="Arial"/>
                <w:sz w:val="22"/>
              </w:rPr>
              <w:t xml:space="preserve"> </w:t>
            </w:r>
          </w:p>
        </w:tc>
        <w:tc>
          <w:tcPr>
            <w:tcW w:w="4677" w:type="dxa"/>
            <w:shd w:val="clear" w:color="auto" w:fill="auto"/>
            <w:vAlign w:val="center"/>
          </w:tcPr>
          <w:p w14:paraId="2E74C7DD" w14:textId="57FAC384" w:rsidR="003A52B3" w:rsidRPr="00CC70ED" w:rsidRDefault="00AC54F3" w:rsidP="00CC70ED">
            <w:pPr>
              <w:pStyle w:val="Zkladntext"/>
              <w:tabs>
                <w:tab w:val="left" w:pos="3060"/>
              </w:tabs>
              <w:spacing w:before="20" w:after="20"/>
              <w:jc w:val="center"/>
              <w:rPr>
                <w:rFonts w:ascii="Arial" w:hAnsi="Arial" w:cs="Arial"/>
                <w:color w:val="auto"/>
                <w:sz w:val="22"/>
                <w:szCs w:val="22"/>
              </w:rPr>
            </w:pPr>
            <w:r>
              <w:rPr>
                <w:rFonts w:ascii="Arial" w:hAnsi="Arial" w:cs="Arial"/>
                <w:color w:val="auto"/>
                <w:sz w:val="22"/>
                <w:szCs w:val="22"/>
              </w:rPr>
              <w:t>jednatelka</w:t>
            </w:r>
          </w:p>
        </w:tc>
      </w:tr>
    </w:tbl>
    <w:p w14:paraId="74C8CFF8" w14:textId="77777777" w:rsidR="0044619C" w:rsidRDefault="0044619C" w:rsidP="006F6E09">
      <w:pPr>
        <w:pStyle w:val="Zkladntext"/>
        <w:rPr>
          <w:rFonts w:ascii="Arial" w:hAnsi="Arial" w:cs="Arial"/>
          <w:color w:val="auto"/>
          <w:sz w:val="22"/>
          <w:szCs w:val="22"/>
        </w:rPr>
      </w:pPr>
    </w:p>
    <w:sectPr w:rsidR="0044619C" w:rsidSect="00C979E8">
      <w:headerReference w:type="default" r:id="rId8"/>
      <w:footerReference w:type="even" r:id="rId9"/>
      <w:footerReference w:type="default" r:id="rId10"/>
      <w:footerReference w:type="first" r:id="rId11"/>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75F3" w14:textId="77777777" w:rsidR="007E5012" w:rsidRDefault="007E5012">
      <w:r>
        <w:separator/>
      </w:r>
    </w:p>
  </w:endnote>
  <w:endnote w:type="continuationSeparator" w:id="0">
    <w:p w14:paraId="1C28BB3C" w14:textId="77777777" w:rsidR="007E5012" w:rsidRDefault="007E5012">
      <w:r>
        <w:continuationSeparator/>
      </w:r>
    </w:p>
  </w:endnote>
  <w:endnote w:type="continuationNotice" w:id="1">
    <w:p w14:paraId="6172DF1F" w14:textId="77777777" w:rsidR="007E5012" w:rsidRDefault="007E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EB4E" w14:textId="77777777"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1A5F037" w14:textId="77777777"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BBED" w14:textId="77777777"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14:paraId="2EB2648A" w14:textId="5A833F41" w:rsidR="00474169" w:rsidRPr="00C979E8" w:rsidRDefault="00474169"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00FD733C">
      <w:rPr>
        <w:rStyle w:val="slostrnky"/>
        <w:rFonts w:ascii="Arial" w:hAnsi="Arial" w:cs="Arial"/>
        <w:sz w:val="18"/>
        <w:szCs w:val="18"/>
      </w:rPr>
      <w:t xml:space="preserve"> </w:t>
    </w:r>
    <w:r w:rsidR="00FD733C" w:rsidRPr="00FD733C">
      <w:rPr>
        <w:rFonts w:ascii="Arial" w:hAnsi="Arial" w:cs="Arial"/>
        <w:sz w:val="18"/>
        <w:szCs w:val="18"/>
      </w:rPr>
      <w:t>OR/22/5</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1F02B3">
      <w:rPr>
        <w:rStyle w:val="slostrnky"/>
        <w:rFonts w:ascii="Arial" w:hAnsi="Arial" w:cs="Arial"/>
        <w:noProof/>
        <w:sz w:val="18"/>
        <w:szCs w:val="18"/>
      </w:rPr>
      <w:t>6</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1F02B3">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70DE" w14:textId="77777777" w:rsidR="00C979E8" w:rsidRDefault="00C979E8" w:rsidP="00C979E8">
    <w:pPr>
      <w:pStyle w:val="Zpat"/>
      <w:pBdr>
        <w:bottom w:val="single" w:sz="6" w:space="1" w:color="auto"/>
      </w:pBdr>
      <w:tabs>
        <w:tab w:val="clear" w:pos="4536"/>
        <w:tab w:val="center" w:pos="4140"/>
      </w:tabs>
      <w:rPr>
        <w:rStyle w:val="slostrnky"/>
        <w:rFonts w:ascii="Arial" w:hAnsi="Arial" w:cs="Arial"/>
      </w:rPr>
    </w:pPr>
  </w:p>
  <w:p w14:paraId="447AEC29" w14:textId="441D774B" w:rsidR="00C979E8" w:rsidRPr="00C979E8" w:rsidRDefault="00C979E8" w:rsidP="00C979E8">
    <w:pPr>
      <w:pStyle w:val="Zpat"/>
      <w:tabs>
        <w:tab w:val="clear" w:pos="9072"/>
        <w:tab w:val="right" w:pos="9354"/>
      </w:tabs>
      <w:jc w:val="both"/>
      <w:rPr>
        <w:rFonts w:ascii="Arial" w:hAnsi="Arial" w:cs="Arial"/>
        <w:sz w:val="18"/>
        <w:szCs w:val="18"/>
      </w:rPr>
    </w:pPr>
    <w:proofErr w:type="spellStart"/>
    <w:r w:rsidRPr="00C979E8">
      <w:rPr>
        <w:rStyle w:val="slostrnky"/>
        <w:rFonts w:ascii="Arial" w:hAnsi="Arial" w:cs="Arial"/>
        <w:sz w:val="18"/>
        <w:szCs w:val="18"/>
      </w:rPr>
      <w:t>SoPS</w:t>
    </w:r>
    <w:proofErr w:type="spellEnd"/>
    <w:r w:rsidRPr="00C979E8">
      <w:rPr>
        <w:rStyle w:val="slostrnky"/>
        <w:rFonts w:ascii="Arial" w:hAnsi="Arial" w:cs="Arial"/>
        <w:sz w:val="18"/>
        <w:szCs w:val="18"/>
      </w:rPr>
      <w:t xml:space="preserve"> č</w:t>
    </w:r>
    <w:r w:rsidR="00FD733C">
      <w:rPr>
        <w:rStyle w:val="slostrnky"/>
        <w:rFonts w:ascii="Arial" w:hAnsi="Arial" w:cs="Arial"/>
        <w:sz w:val="18"/>
        <w:szCs w:val="18"/>
      </w:rPr>
      <w:t xml:space="preserve">. </w:t>
    </w:r>
    <w:r w:rsidR="00FD733C" w:rsidRPr="00FD733C">
      <w:rPr>
        <w:rFonts w:ascii="Arial" w:hAnsi="Arial" w:cs="Arial"/>
        <w:sz w:val="18"/>
        <w:szCs w:val="18"/>
      </w:rPr>
      <w:t>OR/22/5.</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582D42">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582D42">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157F" w14:textId="77777777" w:rsidR="007E5012" w:rsidRDefault="007E5012">
      <w:r>
        <w:separator/>
      </w:r>
    </w:p>
  </w:footnote>
  <w:footnote w:type="continuationSeparator" w:id="0">
    <w:p w14:paraId="0282A292" w14:textId="77777777" w:rsidR="007E5012" w:rsidRDefault="007E5012">
      <w:r>
        <w:continuationSeparator/>
      </w:r>
    </w:p>
  </w:footnote>
  <w:footnote w:type="continuationNotice" w:id="1">
    <w:p w14:paraId="5EB16833" w14:textId="77777777" w:rsidR="007E5012" w:rsidRDefault="007E5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A1FF" w14:textId="09490801" w:rsidR="00474169" w:rsidRPr="00C86CF0" w:rsidRDefault="00984E6F" w:rsidP="00C86CF0">
    <w:pPr>
      <w:pStyle w:val="Zhlav"/>
      <w:tabs>
        <w:tab w:val="clear" w:pos="4536"/>
        <w:tab w:val="clear" w:pos="9072"/>
        <w:tab w:val="left" w:pos="7830"/>
      </w:tabs>
      <w:rPr>
        <w:rFonts w:ascii="Arial" w:hAnsi="Arial" w:cs="Arial"/>
        <w:sz w:val="24"/>
        <w:szCs w:val="24"/>
      </w:rPr>
    </w:pPr>
    <w:r>
      <w:rPr>
        <w:rFonts w:ascii="Arial" w:hAnsi="Arial" w:cs="Arial"/>
        <w:sz w:val="24"/>
        <w:szCs w:val="24"/>
        <w:u w:val="single"/>
      </w:rPr>
      <w:t>Gymnázium Dr. Emila Holuba</w:t>
    </w:r>
    <w:r w:rsidR="00474169">
      <w:rPr>
        <w:rFonts w:ascii="Arial" w:hAnsi="Arial" w:cs="Arial"/>
        <w:sz w:val="24"/>
        <w:szCs w:val="24"/>
      </w:rPr>
      <w:t>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1F432B"/>
    <w:multiLevelType w:val="hybridMultilevel"/>
    <w:tmpl w:val="91E8F842"/>
    <w:lvl w:ilvl="0" w:tplc="BEC872F4">
      <w:start w:val="1"/>
      <w:numFmt w:val="decimal"/>
      <w:lvlText w:val="%1."/>
      <w:lvlJc w:val="left"/>
      <w:pPr>
        <w:ind w:left="1495" w:hanging="360"/>
      </w:pPr>
    </w:lvl>
    <w:lvl w:ilvl="1" w:tplc="825A2696">
      <w:start w:val="1"/>
      <w:numFmt w:val="lowerLetter"/>
      <w:lvlText w:val="%2."/>
      <w:lvlJc w:val="left"/>
      <w:pPr>
        <w:ind w:left="2215" w:hanging="360"/>
      </w:pPr>
    </w:lvl>
    <w:lvl w:ilvl="2" w:tplc="96D03FFE">
      <w:start w:val="1"/>
      <w:numFmt w:val="lowerRoman"/>
      <w:lvlText w:val="%3."/>
      <w:lvlJc w:val="right"/>
      <w:pPr>
        <w:ind w:left="2935" w:hanging="180"/>
      </w:pPr>
    </w:lvl>
    <w:lvl w:ilvl="3" w:tplc="45065AD2">
      <w:start w:val="1"/>
      <w:numFmt w:val="decimal"/>
      <w:lvlText w:val="%4."/>
      <w:lvlJc w:val="left"/>
      <w:pPr>
        <w:ind w:left="3655" w:hanging="360"/>
      </w:pPr>
    </w:lvl>
    <w:lvl w:ilvl="4" w:tplc="89E45DBE">
      <w:start w:val="1"/>
      <w:numFmt w:val="lowerLetter"/>
      <w:lvlText w:val="%5."/>
      <w:lvlJc w:val="left"/>
      <w:pPr>
        <w:ind w:left="4375" w:hanging="360"/>
      </w:pPr>
    </w:lvl>
    <w:lvl w:ilvl="5" w:tplc="BAE0B780">
      <w:start w:val="1"/>
      <w:numFmt w:val="lowerRoman"/>
      <w:lvlText w:val="%6."/>
      <w:lvlJc w:val="right"/>
      <w:pPr>
        <w:ind w:left="5095" w:hanging="180"/>
      </w:pPr>
    </w:lvl>
    <w:lvl w:ilvl="6" w:tplc="46B01C38">
      <w:start w:val="1"/>
      <w:numFmt w:val="decimal"/>
      <w:lvlText w:val="%7."/>
      <w:lvlJc w:val="left"/>
      <w:pPr>
        <w:ind w:left="5815" w:hanging="360"/>
      </w:pPr>
    </w:lvl>
    <w:lvl w:ilvl="7" w:tplc="17D005B0">
      <w:start w:val="1"/>
      <w:numFmt w:val="lowerLetter"/>
      <w:lvlText w:val="%8."/>
      <w:lvlJc w:val="left"/>
      <w:pPr>
        <w:ind w:left="6535" w:hanging="360"/>
      </w:pPr>
    </w:lvl>
    <w:lvl w:ilvl="8" w:tplc="B2223F0E">
      <w:start w:val="1"/>
      <w:numFmt w:val="lowerRoman"/>
      <w:lvlText w:val="%9."/>
      <w:lvlJc w:val="right"/>
      <w:pPr>
        <w:ind w:left="7255" w:hanging="180"/>
      </w:pPr>
    </w:lvl>
  </w:abstractNum>
  <w:abstractNum w:abstractNumId="8"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9"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15:restartNumberingAfterBreak="0">
    <w:nsid w:val="64735B40"/>
    <w:multiLevelType w:val="hybridMultilevel"/>
    <w:tmpl w:val="B2F4C8EA"/>
    <w:lvl w:ilvl="0" w:tplc="401A8C4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216EA"/>
    <w:multiLevelType w:val="hybridMultilevel"/>
    <w:tmpl w:val="FDFAFD52"/>
    <w:lvl w:ilvl="0" w:tplc="F5FC5A0E">
      <w:start w:val="1"/>
      <w:numFmt w:val="decimal"/>
      <w:lvlText w:val="%1."/>
      <w:lvlJc w:val="left"/>
      <w:pPr>
        <w:tabs>
          <w:tab w:val="num" w:pos="360"/>
        </w:tabs>
        <w:ind w:left="360" w:hanging="360"/>
      </w:pPr>
      <w:rPr>
        <w:rFonts w:hint="default"/>
      </w:rPr>
    </w:lvl>
    <w:lvl w:ilvl="1" w:tplc="50C05626" w:tentative="1">
      <w:start w:val="1"/>
      <w:numFmt w:val="lowerLetter"/>
      <w:lvlText w:val="%2."/>
      <w:lvlJc w:val="left"/>
      <w:pPr>
        <w:tabs>
          <w:tab w:val="num" w:pos="1080"/>
        </w:tabs>
        <w:ind w:left="1080" w:hanging="360"/>
      </w:pPr>
    </w:lvl>
    <w:lvl w:ilvl="2" w:tplc="6B588EBE" w:tentative="1">
      <w:start w:val="1"/>
      <w:numFmt w:val="lowerRoman"/>
      <w:lvlText w:val="%3."/>
      <w:lvlJc w:val="right"/>
      <w:pPr>
        <w:tabs>
          <w:tab w:val="num" w:pos="1800"/>
        </w:tabs>
        <w:ind w:left="1800" w:hanging="180"/>
      </w:pPr>
    </w:lvl>
    <w:lvl w:ilvl="3" w:tplc="7004E9F6" w:tentative="1">
      <w:start w:val="1"/>
      <w:numFmt w:val="decimal"/>
      <w:lvlText w:val="%4."/>
      <w:lvlJc w:val="left"/>
      <w:pPr>
        <w:tabs>
          <w:tab w:val="num" w:pos="2520"/>
        </w:tabs>
        <w:ind w:left="2520" w:hanging="360"/>
      </w:pPr>
    </w:lvl>
    <w:lvl w:ilvl="4" w:tplc="2BEA12F6" w:tentative="1">
      <w:start w:val="1"/>
      <w:numFmt w:val="lowerLetter"/>
      <w:lvlText w:val="%5."/>
      <w:lvlJc w:val="left"/>
      <w:pPr>
        <w:tabs>
          <w:tab w:val="num" w:pos="3240"/>
        </w:tabs>
        <w:ind w:left="3240" w:hanging="360"/>
      </w:pPr>
    </w:lvl>
    <w:lvl w:ilvl="5" w:tplc="B61E3C0A" w:tentative="1">
      <w:start w:val="1"/>
      <w:numFmt w:val="lowerRoman"/>
      <w:lvlText w:val="%6."/>
      <w:lvlJc w:val="right"/>
      <w:pPr>
        <w:tabs>
          <w:tab w:val="num" w:pos="3960"/>
        </w:tabs>
        <w:ind w:left="3960" w:hanging="180"/>
      </w:pPr>
    </w:lvl>
    <w:lvl w:ilvl="6" w:tplc="B080CBCA" w:tentative="1">
      <w:start w:val="1"/>
      <w:numFmt w:val="decimal"/>
      <w:lvlText w:val="%7."/>
      <w:lvlJc w:val="left"/>
      <w:pPr>
        <w:tabs>
          <w:tab w:val="num" w:pos="4680"/>
        </w:tabs>
        <w:ind w:left="4680" w:hanging="360"/>
      </w:pPr>
    </w:lvl>
    <w:lvl w:ilvl="7" w:tplc="C0A067F4" w:tentative="1">
      <w:start w:val="1"/>
      <w:numFmt w:val="lowerLetter"/>
      <w:lvlText w:val="%8."/>
      <w:lvlJc w:val="left"/>
      <w:pPr>
        <w:tabs>
          <w:tab w:val="num" w:pos="5400"/>
        </w:tabs>
        <w:ind w:left="5400" w:hanging="360"/>
      </w:pPr>
    </w:lvl>
    <w:lvl w:ilvl="8" w:tplc="7B00121A" w:tentative="1">
      <w:start w:val="1"/>
      <w:numFmt w:val="lowerRoman"/>
      <w:lvlText w:val="%9."/>
      <w:lvlJc w:val="right"/>
      <w:pPr>
        <w:tabs>
          <w:tab w:val="num" w:pos="6120"/>
        </w:tabs>
        <w:ind w:left="6120" w:hanging="180"/>
      </w:pPr>
    </w:lvl>
  </w:abstractNum>
  <w:abstractNum w:abstractNumId="13"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4"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1"/>
  </w:num>
  <w:num w:numId="10">
    <w:abstractNumId w:val="2"/>
  </w:num>
  <w:num w:numId="11">
    <w:abstractNumId w:val="8"/>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86"/>
    <w:rsid w:val="00000CC5"/>
    <w:rsid w:val="000059C6"/>
    <w:rsid w:val="000062CA"/>
    <w:rsid w:val="000112A2"/>
    <w:rsid w:val="000115C6"/>
    <w:rsid w:val="00013668"/>
    <w:rsid w:val="000140DE"/>
    <w:rsid w:val="00016304"/>
    <w:rsid w:val="00017DEF"/>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958BE"/>
    <w:rsid w:val="0009718F"/>
    <w:rsid w:val="000A4CF3"/>
    <w:rsid w:val="000C2502"/>
    <w:rsid w:val="000C27DD"/>
    <w:rsid w:val="000C5577"/>
    <w:rsid w:val="000C5AC3"/>
    <w:rsid w:val="000C7651"/>
    <w:rsid w:val="000E2831"/>
    <w:rsid w:val="000E44C5"/>
    <w:rsid w:val="000F73D7"/>
    <w:rsid w:val="0010132B"/>
    <w:rsid w:val="001015D2"/>
    <w:rsid w:val="00103F9B"/>
    <w:rsid w:val="001105EA"/>
    <w:rsid w:val="0011414D"/>
    <w:rsid w:val="00114394"/>
    <w:rsid w:val="00124045"/>
    <w:rsid w:val="00124C77"/>
    <w:rsid w:val="00126C17"/>
    <w:rsid w:val="00127850"/>
    <w:rsid w:val="00130760"/>
    <w:rsid w:val="00132554"/>
    <w:rsid w:val="0013410D"/>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0E48"/>
    <w:rsid w:val="001B14AE"/>
    <w:rsid w:val="001B7122"/>
    <w:rsid w:val="001C1D49"/>
    <w:rsid w:val="001D1ADA"/>
    <w:rsid w:val="001D30E9"/>
    <w:rsid w:val="001D3CAF"/>
    <w:rsid w:val="001D7572"/>
    <w:rsid w:val="001E159F"/>
    <w:rsid w:val="001E1ADB"/>
    <w:rsid w:val="001E3777"/>
    <w:rsid w:val="001E7A16"/>
    <w:rsid w:val="001F02B3"/>
    <w:rsid w:val="001F162F"/>
    <w:rsid w:val="001F2C00"/>
    <w:rsid w:val="001F544C"/>
    <w:rsid w:val="002052FC"/>
    <w:rsid w:val="00205897"/>
    <w:rsid w:val="00212EF6"/>
    <w:rsid w:val="002341A0"/>
    <w:rsid w:val="002359B9"/>
    <w:rsid w:val="00235C96"/>
    <w:rsid w:val="00241AD8"/>
    <w:rsid w:val="00243388"/>
    <w:rsid w:val="00246565"/>
    <w:rsid w:val="00247A02"/>
    <w:rsid w:val="0026173D"/>
    <w:rsid w:val="0026174A"/>
    <w:rsid w:val="002655C0"/>
    <w:rsid w:val="0027151A"/>
    <w:rsid w:val="0027213C"/>
    <w:rsid w:val="00277148"/>
    <w:rsid w:val="002837D7"/>
    <w:rsid w:val="0028478E"/>
    <w:rsid w:val="002858BD"/>
    <w:rsid w:val="00290369"/>
    <w:rsid w:val="00294D2B"/>
    <w:rsid w:val="002A0E0C"/>
    <w:rsid w:val="002A273C"/>
    <w:rsid w:val="002A3995"/>
    <w:rsid w:val="002A7D8D"/>
    <w:rsid w:val="002B26E5"/>
    <w:rsid w:val="002B41D2"/>
    <w:rsid w:val="002B6CDC"/>
    <w:rsid w:val="002B75AB"/>
    <w:rsid w:val="002B7CD5"/>
    <w:rsid w:val="002C183E"/>
    <w:rsid w:val="002C1A91"/>
    <w:rsid w:val="002C71D6"/>
    <w:rsid w:val="002E0056"/>
    <w:rsid w:val="002E14DE"/>
    <w:rsid w:val="002F5759"/>
    <w:rsid w:val="002F5D73"/>
    <w:rsid w:val="00304C7A"/>
    <w:rsid w:val="00312B7F"/>
    <w:rsid w:val="0031338C"/>
    <w:rsid w:val="0032468B"/>
    <w:rsid w:val="00327544"/>
    <w:rsid w:val="00331BC4"/>
    <w:rsid w:val="003338C9"/>
    <w:rsid w:val="00362430"/>
    <w:rsid w:val="003637F4"/>
    <w:rsid w:val="00364022"/>
    <w:rsid w:val="00365379"/>
    <w:rsid w:val="00366190"/>
    <w:rsid w:val="003740E2"/>
    <w:rsid w:val="00381EA2"/>
    <w:rsid w:val="00383EC6"/>
    <w:rsid w:val="0038599F"/>
    <w:rsid w:val="003923C3"/>
    <w:rsid w:val="003971A2"/>
    <w:rsid w:val="003A1C63"/>
    <w:rsid w:val="003A52B3"/>
    <w:rsid w:val="003A6E3B"/>
    <w:rsid w:val="003C1C41"/>
    <w:rsid w:val="003D02AA"/>
    <w:rsid w:val="003D12FA"/>
    <w:rsid w:val="003D2749"/>
    <w:rsid w:val="003E31AD"/>
    <w:rsid w:val="003E329C"/>
    <w:rsid w:val="003F1283"/>
    <w:rsid w:val="003F2494"/>
    <w:rsid w:val="003F2E36"/>
    <w:rsid w:val="0041635B"/>
    <w:rsid w:val="004207DE"/>
    <w:rsid w:val="0042111B"/>
    <w:rsid w:val="004268CA"/>
    <w:rsid w:val="00434B16"/>
    <w:rsid w:val="00434EEE"/>
    <w:rsid w:val="00435C27"/>
    <w:rsid w:val="00436BD7"/>
    <w:rsid w:val="0043738B"/>
    <w:rsid w:val="0043749B"/>
    <w:rsid w:val="00443F0C"/>
    <w:rsid w:val="004455BC"/>
    <w:rsid w:val="004457C3"/>
    <w:rsid w:val="0044619C"/>
    <w:rsid w:val="00451684"/>
    <w:rsid w:val="00454493"/>
    <w:rsid w:val="00457D90"/>
    <w:rsid w:val="0046017D"/>
    <w:rsid w:val="00470E91"/>
    <w:rsid w:val="00471D4B"/>
    <w:rsid w:val="00474169"/>
    <w:rsid w:val="00484285"/>
    <w:rsid w:val="00485E90"/>
    <w:rsid w:val="0049067A"/>
    <w:rsid w:val="004909B3"/>
    <w:rsid w:val="004949F3"/>
    <w:rsid w:val="004A01CF"/>
    <w:rsid w:val="004A1CA6"/>
    <w:rsid w:val="004A7C25"/>
    <w:rsid w:val="004B7942"/>
    <w:rsid w:val="004C7999"/>
    <w:rsid w:val="004D1F15"/>
    <w:rsid w:val="004D7EAB"/>
    <w:rsid w:val="004E5F13"/>
    <w:rsid w:val="004F43E2"/>
    <w:rsid w:val="004F5A39"/>
    <w:rsid w:val="0051055F"/>
    <w:rsid w:val="005106C8"/>
    <w:rsid w:val="005122F3"/>
    <w:rsid w:val="00512AF1"/>
    <w:rsid w:val="00515F93"/>
    <w:rsid w:val="0051626B"/>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2D42"/>
    <w:rsid w:val="005870B7"/>
    <w:rsid w:val="005966DD"/>
    <w:rsid w:val="005A375C"/>
    <w:rsid w:val="005A5218"/>
    <w:rsid w:val="005A53E8"/>
    <w:rsid w:val="005A5C3E"/>
    <w:rsid w:val="005A76F9"/>
    <w:rsid w:val="005B2AEE"/>
    <w:rsid w:val="005B2EEB"/>
    <w:rsid w:val="005C4986"/>
    <w:rsid w:val="005E2642"/>
    <w:rsid w:val="005E32E4"/>
    <w:rsid w:val="005F02CD"/>
    <w:rsid w:val="005F2D8B"/>
    <w:rsid w:val="005F3AD4"/>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05C1"/>
    <w:rsid w:val="00661F3E"/>
    <w:rsid w:val="0066211B"/>
    <w:rsid w:val="00662BDB"/>
    <w:rsid w:val="00663C59"/>
    <w:rsid w:val="00664968"/>
    <w:rsid w:val="006665FA"/>
    <w:rsid w:val="006743D2"/>
    <w:rsid w:val="00692769"/>
    <w:rsid w:val="006A04AD"/>
    <w:rsid w:val="006A4509"/>
    <w:rsid w:val="006B1500"/>
    <w:rsid w:val="006B1983"/>
    <w:rsid w:val="006B3637"/>
    <w:rsid w:val="006C2E65"/>
    <w:rsid w:val="006C5BB3"/>
    <w:rsid w:val="006D62CB"/>
    <w:rsid w:val="006D7F79"/>
    <w:rsid w:val="006F6E09"/>
    <w:rsid w:val="00701FDD"/>
    <w:rsid w:val="00703D0F"/>
    <w:rsid w:val="0070673C"/>
    <w:rsid w:val="00711545"/>
    <w:rsid w:val="00715FC0"/>
    <w:rsid w:val="00721E60"/>
    <w:rsid w:val="00725949"/>
    <w:rsid w:val="007264D0"/>
    <w:rsid w:val="007349FE"/>
    <w:rsid w:val="00734F95"/>
    <w:rsid w:val="007429F5"/>
    <w:rsid w:val="00742ED9"/>
    <w:rsid w:val="00753F17"/>
    <w:rsid w:val="007548F4"/>
    <w:rsid w:val="007676BB"/>
    <w:rsid w:val="007729F7"/>
    <w:rsid w:val="00774706"/>
    <w:rsid w:val="007753F3"/>
    <w:rsid w:val="00777DE3"/>
    <w:rsid w:val="0078709E"/>
    <w:rsid w:val="0079010D"/>
    <w:rsid w:val="007915C7"/>
    <w:rsid w:val="007A191E"/>
    <w:rsid w:val="007A2B89"/>
    <w:rsid w:val="007A4847"/>
    <w:rsid w:val="007B068D"/>
    <w:rsid w:val="007B0E1E"/>
    <w:rsid w:val="007B0FEE"/>
    <w:rsid w:val="007B2ED6"/>
    <w:rsid w:val="007B74DC"/>
    <w:rsid w:val="007C0CFF"/>
    <w:rsid w:val="007C210D"/>
    <w:rsid w:val="007C3C2A"/>
    <w:rsid w:val="007C7233"/>
    <w:rsid w:val="007D2DE9"/>
    <w:rsid w:val="007D4BA4"/>
    <w:rsid w:val="007D6ACE"/>
    <w:rsid w:val="007E455C"/>
    <w:rsid w:val="007E4C7A"/>
    <w:rsid w:val="007E5012"/>
    <w:rsid w:val="007E5846"/>
    <w:rsid w:val="007F3CE5"/>
    <w:rsid w:val="007F42AC"/>
    <w:rsid w:val="008014AB"/>
    <w:rsid w:val="0080265F"/>
    <w:rsid w:val="00814D7D"/>
    <w:rsid w:val="00822A42"/>
    <w:rsid w:val="00824C77"/>
    <w:rsid w:val="008317EE"/>
    <w:rsid w:val="00841BA9"/>
    <w:rsid w:val="00844362"/>
    <w:rsid w:val="00845154"/>
    <w:rsid w:val="00845775"/>
    <w:rsid w:val="00854DFB"/>
    <w:rsid w:val="00856BEC"/>
    <w:rsid w:val="008607B4"/>
    <w:rsid w:val="00861463"/>
    <w:rsid w:val="008728DA"/>
    <w:rsid w:val="00873956"/>
    <w:rsid w:val="00891355"/>
    <w:rsid w:val="00892054"/>
    <w:rsid w:val="008A0075"/>
    <w:rsid w:val="008A3D2C"/>
    <w:rsid w:val="008B3E92"/>
    <w:rsid w:val="008B5CEA"/>
    <w:rsid w:val="008C1A63"/>
    <w:rsid w:val="008C688F"/>
    <w:rsid w:val="008E0D89"/>
    <w:rsid w:val="008E0F92"/>
    <w:rsid w:val="008E3C84"/>
    <w:rsid w:val="008F473F"/>
    <w:rsid w:val="008F73D8"/>
    <w:rsid w:val="00904141"/>
    <w:rsid w:val="0090429E"/>
    <w:rsid w:val="00905002"/>
    <w:rsid w:val="00933FB7"/>
    <w:rsid w:val="00936952"/>
    <w:rsid w:val="00941488"/>
    <w:rsid w:val="009523CA"/>
    <w:rsid w:val="009559DA"/>
    <w:rsid w:val="0095676F"/>
    <w:rsid w:val="00956C00"/>
    <w:rsid w:val="00964739"/>
    <w:rsid w:val="00965C22"/>
    <w:rsid w:val="009722F3"/>
    <w:rsid w:val="009769D6"/>
    <w:rsid w:val="00984E6F"/>
    <w:rsid w:val="00987FA5"/>
    <w:rsid w:val="0099514C"/>
    <w:rsid w:val="009954BB"/>
    <w:rsid w:val="009A1B3F"/>
    <w:rsid w:val="009A1FAC"/>
    <w:rsid w:val="009A43F2"/>
    <w:rsid w:val="009B35C0"/>
    <w:rsid w:val="009B4DF0"/>
    <w:rsid w:val="009B69ED"/>
    <w:rsid w:val="009C1C61"/>
    <w:rsid w:val="009C7C36"/>
    <w:rsid w:val="009F63CC"/>
    <w:rsid w:val="00A01460"/>
    <w:rsid w:val="00A13F78"/>
    <w:rsid w:val="00A16FD8"/>
    <w:rsid w:val="00A21ED4"/>
    <w:rsid w:val="00A3077C"/>
    <w:rsid w:val="00A32BDB"/>
    <w:rsid w:val="00A34D4A"/>
    <w:rsid w:val="00A50166"/>
    <w:rsid w:val="00A521AA"/>
    <w:rsid w:val="00A538F6"/>
    <w:rsid w:val="00A569EF"/>
    <w:rsid w:val="00A60795"/>
    <w:rsid w:val="00A65C43"/>
    <w:rsid w:val="00A72CD8"/>
    <w:rsid w:val="00A93604"/>
    <w:rsid w:val="00A93A54"/>
    <w:rsid w:val="00A94E65"/>
    <w:rsid w:val="00AA2714"/>
    <w:rsid w:val="00AA4A66"/>
    <w:rsid w:val="00AA6EB9"/>
    <w:rsid w:val="00AB12C9"/>
    <w:rsid w:val="00AB5284"/>
    <w:rsid w:val="00AC54F3"/>
    <w:rsid w:val="00AC5B30"/>
    <w:rsid w:val="00AC60C9"/>
    <w:rsid w:val="00AD0A61"/>
    <w:rsid w:val="00AD100F"/>
    <w:rsid w:val="00AD6730"/>
    <w:rsid w:val="00AD71D5"/>
    <w:rsid w:val="00AD761A"/>
    <w:rsid w:val="00AE0BBB"/>
    <w:rsid w:val="00AE3833"/>
    <w:rsid w:val="00AF5DBC"/>
    <w:rsid w:val="00AF6816"/>
    <w:rsid w:val="00AF68FB"/>
    <w:rsid w:val="00AF6FD9"/>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E22"/>
    <w:rsid w:val="00B570EB"/>
    <w:rsid w:val="00B62E1E"/>
    <w:rsid w:val="00B67013"/>
    <w:rsid w:val="00B71B38"/>
    <w:rsid w:val="00B74346"/>
    <w:rsid w:val="00B85040"/>
    <w:rsid w:val="00B91BED"/>
    <w:rsid w:val="00BA1732"/>
    <w:rsid w:val="00BA2347"/>
    <w:rsid w:val="00BA6AB2"/>
    <w:rsid w:val="00BA7237"/>
    <w:rsid w:val="00BB2432"/>
    <w:rsid w:val="00BC063D"/>
    <w:rsid w:val="00BC5B12"/>
    <w:rsid w:val="00BC601A"/>
    <w:rsid w:val="00BD0291"/>
    <w:rsid w:val="00BD312F"/>
    <w:rsid w:val="00BD6822"/>
    <w:rsid w:val="00BE1259"/>
    <w:rsid w:val="00BF0D2C"/>
    <w:rsid w:val="00BF547C"/>
    <w:rsid w:val="00C04A91"/>
    <w:rsid w:val="00C0668E"/>
    <w:rsid w:val="00C06834"/>
    <w:rsid w:val="00C1346E"/>
    <w:rsid w:val="00C279DE"/>
    <w:rsid w:val="00C32256"/>
    <w:rsid w:val="00C3787D"/>
    <w:rsid w:val="00C53C12"/>
    <w:rsid w:val="00C53C14"/>
    <w:rsid w:val="00C54C19"/>
    <w:rsid w:val="00C60B1C"/>
    <w:rsid w:val="00C678C8"/>
    <w:rsid w:val="00C70BDC"/>
    <w:rsid w:val="00C72FEF"/>
    <w:rsid w:val="00C7555E"/>
    <w:rsid w:val="00C75B49"/>
    <w:rsid w:val="00C76BB7"/>
    <w:rsid w:val="00C76D4A"/>
    <w:rsid w:val="00C81C41"/>
    <w:rsid w:val="00C86CF0"/>
    <w:rsid w:val="00C87C1C"/>
    <w:rsid w:val="00C90193"/>
    <w:rsid w:val="00C952FE"/>
    <w:rsid w:val="00C957C1"/>
    <w:rsid w:val="00C979E8"/>
    <w:rsid w:val="00CA26D7"/>
    <w:rsid w:val="00CA3CBD"/>
    <w:rsid w:val="00CA4F1E"/>
    <w:rsid w:val="00CB09FD"/>
    <w:rsid w:val="00CB3BBB"/>
    <w:rsid w:val="00CB638B"/>
    <w:rsid w:val="00CB7ADB"/>
    <w:rsid w:val="00CC0A48"/>
    <w:rsid w:val="00CC70ED"/>
    <w:rsid w:val="00CD679B"/>
    <w:rsid w:val="00CE1FC4"/>
    <w:rsid w:val="00CE3845"/>
    <w:rsid w:val="00CE69E6"/>
    <w:rsid w:val="00CE701B"/>
    <w:rsid w:val="00CE7320"/>
    <w:rsid w:val="00CF2DAB"/>
    <w:rsid w:val="00D00897"/>
    <w:rsid w:val="00D0245A"/>
    <w:rsid w:val="00D05EB1"/>
    <w:rsid w:val="00D10962"/>
    <w:rsid w:val="00D14B5F"/>
    <w:rsid w:val="00D207C8"/>
    <w:rsid w:val="00D210B3"/>
    <w:rsid w:val="00D2416C"/>
    <w:rsid w:val="00D246CB"/>
    <w:rsid w:val="00D24FE7"/>
    <w:rsid w:val="00D25677"/>
    <w:rsid w:val="00D313B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5E56"/>
    <w:rsid w:val="00D8754A"/>
    <w:rsid w:val="00DA13A2"/>
    <w:rsid w:val="00DA4481"/>
    <w:rsid w:val="00DB1386"/>
    <w:rsid w:val="00DB1797"/>
    <w:rsid w:val="00DB678F"/>
    <w:rsid w:val="00DC55DD"/>
    <w:rsid w:val="00DD400F"/>
    <w:rsid w:val="00DD58C7"/>
    <w:rsid w:val="00DD62D5"/>
    <w:rsid w:val="00DE3725"/>
    <w:rsid w:val="00DF1462"/>
    <w:rsid w:val="00DF3D1B"/>
    <w:rsid w:val="00E01D28"/>
    <w:rsid w:val="00E04D86"/>
    <w:rsid w:val="00E106D9"/>
    <w:rsid w:val="00E170B3"/>
    <w:rsid w:val="00E222E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4F6F"/>
    <w:rsid w:val="00ED6AF0"/>
    <w:rsid w:val="00EF214C"/>
    <w:rsid w:val="00EF7957"/>
    <w:rsid w:val="00F00247"/>
    <w:rsid w:val="00F044CC"/>
    <w:rsid w:val="00F06913"/>
    <w:rsid w:val="00F12A1E"/>
    <w:rsid w:val="00F12F89"/>
    <w:rsid w:val="00F16412"/>
    <w:rsid w:val="00F1669F"/>
    <w:rsid w:val="00F1735D"/>
    <w:rsid w:val="00F23980"/>
    <w:rsid w:val="00F259B4"/>
    <w:rsid w:val="00F31E18"/>
    <w:rsid w:val="00F34F64"/>
    <w:rsid w:val="00F35668"/>
    <w:rsid w:val="00F42337"/>
    <w:rsid w:val="00F473DC"/>
    <w:rsid w:val="00F54888"/>
    <w:rsid w:val="00F704EB"/>
    <w:rsid w:val="00F709D0"/>
    <w:rsid w:val="00F81D25"/>
    <w:rsid w:val="00F82913"/>
    <w:rsid w:val="00F945B0"/>
    <w:rsid w:val="00F967E5"/>
    <w:rsid w:val="00FA4490"/>
    <w:rsid w:val="00FB2458"/>
    <w:rsid w:val="00FB323B"/>
    <w:rsid w:val="00FC3CDD"/>
    <w:rsid w:val="00FC7F4C"/>
    <w:rsid w:val="00FD371B"/>
    <w:rsid w:val="00FD6E86"/>
    <w:rsid w:val="00FD733C"/>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853DE"/>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32468B"/>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 w:type="character" w:styleId="Sledovanodkaz">
    <w:name w:val="FollowedHyperlink"/>
    <w:basedOn w:val="Standardnpsmoodstavce"/>
    <w:rsid w:val="00AD71D5"/>
    <w:rPr>
      <w:color w:val="954F72" w:themeColor="followedHyperlink"/>
      <w:u w:val="single"/>
    </w:rPr>
  </w:style>
  <w:style w:type="paragraph" w:styleId="Revize">
    <w:name w:val="Revision"/>
    <w:hidden/>
    <w:uiPriority w:val="99"/>
    <w:semiHidden/>
    <w:rsid w:val="0032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A46B-A807-473D-B431-9CA565DA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2755</Words>
  <Characters>16255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18973</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Valentová Šárka</cp:lastModifiedBy>
  <cp:revision>3</cp:revision>
  <cp:lastPrinted>2014-01-13T09:07:00Z</cp:lastPrinted>
  <dcterms:created xsi:type="dcterms:W3CDTF">2022-12-14T06:43:00Z</dcterms:created>
  <dcterms:modified xsi:type="dcterms:W3CDTF">2022-12-14T06:43:00Z</dcterms:modified>
</cp:coreProperties>
</file>