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C9" w:rsidRDefault="00B666C9">
      <w:pPr>
        <w:pStyle w:val="Nadpis10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</w:p>
    <w:p w:rsidR="008700C5" w:rsidRDefault="00BD05AC">
      <w:pPr>
        <w:pStyle w:val="Nadpis10"/>
        <w:keepNext/>
        <w:keepLines/>
        <w:shd w:val="clear" w:color="auto" w:fill="auto"/>
        <w:spacing w:after="0" w:line="240" w:lineRule="auto"/>
      </w:pPr>
      <w:r>
        <w:t>Smlouva o reprodukci</w:t>
      </w:r>
      <w:bookmarkEnd w:id="0"/>
      <w:bookmarkEnd w:id="1"/>
    </w:p>
    <w:p w:rsidR="008700C5" w:rsidRDefault="00BD05AC">
      <w:pPr>
        <w:pStyle w:val="Nadpis10"/>
        <w:keepNext/>
        <w:keepLines/>
        <w:shd w:val="clear" w:color="auto" w:fill="auto"/>
        <w:spacing w:after="200" w:line="233" w:lineRule="auto"/>
      </w:pPr>
      <w:bookmarkStart w:id="2" w:name="bookmark2"/>
      <w:bookmarkStart w:id="3" w:name="bookmark3"/>
      <w:r>
        <w:t>L16/2022</w:t>
      </w:r>
      <w:bookmarkEnd w:id="2"/>
      <w:bookmarkEnd w:id="3"/>
    </w:p>
    <w:p w:rsidR="008700C5" w:rsidRDefault="00BD05AC">
      <w:pPr>
        <w:pStyle w:val="Zkladntext1"/>
        <w:shd w:val="clear" w:color="auto" w:fill="auto"/>
        <w:spacing w:after="200" w:line="259" w:lineRule="auto"/>
        <w:jc w:val="center"/>
      </w:pPr>
      <w:r>
        <w:t>o udělení jednorázového reprodukčního práva, kterou uzavřeli</w:t>
      </w:r>
    </w:p>
    <w:p w:rsidR="00B666C9" w:rsidRDefault="00BD05AC">
      <w:pPr>
        <w:pStyle w:val="Zkladntext1"/>
        <w:shd w:val="clear" w:color="auto" w:fill="auto"/>
        <w:spacing w:after="120" w:line="240" w:lineRule="auto"/>
        <w:ind w:left="1160" w:firstLine="20"/>
        <w:jc w:val="both"/>
      </w:pPr>
      <w:r>
        <w:rPr>
          <w:b/>
          <w:bCs/>
          <w:sz w:val="18"/>
          <w:szCs w:val="18"/>
        </w:rPr>
        <w:t xml:space="preserve">Národní zemědělské muzeum, s. p. o., </w:t>
      </w:r>
      <w:r>
        <w:t>Kostelní 1300/44, 170 00 Praha 7, IČ: 750 75</w:t>
      </w:r>
      <w:r w:rsidR="00B666C9">
        <w:t> </w:t>
      </w:r>
      <w:r>
        <w:t xml:space="preserve">741 </w:t>
      </w:r>
    </w:p>
    <w:p w:rsidR="008700C5" w:rsidRDefault="00BD05AC">
      <w:pPr>
        <w:pStyle w:val="Zkladntext1"/>
        <w:shd w:val="clear" w:color="auto" w:fill="auto"/>
        <w:spacing w:after="120" w:line="240" w:lineRule="auto"/>
        <w:ind w:left="1160" w:firstLine="20"/>
        <w:jc w:val="both"/>
      </w:pPr>
      <w:r>
        <w:t xml:space="preserve">Zastoupené: </w:t>
      </w:r>
      <w:r>
        <w:rPr>
          <w:b/>
          <w:bCs/>
          <w:sz w:val="18"/>
          <w:szCs w:val="18"/>
        </w:rPr>
        <w:t xml:space="preserve">Ing. Zdeněk Novák, </w:t>
      </w:r>
      <w:r>
        <w:t>generální ředitel</w:t>
      </w:r>
    </w:p>
    <w:p w:rsidR="008700C5" w:rsidRDefault="00BD05AC">
      <w:pPr>
        <w:pStyle w:val="Zkladntext1"/>
        <w:shd w:val="clear" w:color="auto" w:fill="auto"/>
        <w:spacing w:line="259" w:lineRule="auto"/>
        <w:ind w:left="1160" w:firstLine="20"/>
        <w:jc w:val="both"/>
      </w:pPr>
      <w:r>
        <w:t>a zástupcem k jednání o věcném plnění předmětu smlouvy:</w:t>
      </w:r>
    </w:p>
    <w:p w:rsidR="008700C5" w:rsidRDefault="00B666C9">
      <w:pPr>
        <w:pStyle w:val="Zkladntext1"/>
        <w:shd w:val="clear" w:color="auto" w:fill="auto"/>
        <w:spacing w:after="200" w:line="259" w:lineRule="auto"/>
        <w:ind w:left="1160" w:firstLine="20"/>
        <w:jc w:val="both"/>
      </w:pPr>
      <w:r>
        <w:t>xxx</w:t>
      </w:r>
      <w:r w:rsidR="00BD05AC">
        <w:t xml:space="preserve"> </w:t>
      </w:r>
      <w:r w:rsidR="00BD05AC" w:rsidRPr="00B666C9">
        <w:rPr>
          <w:lang w:eastAsia="en-US" w:bidi="en-US"/>
        </w:rPr>
        <w:t>(</w:t>
      </w:r>
      <w:hyperlink r:id="rId7" w:history="1">
        <w:r>
          <w:rPr>
            <w:lang w:eastAsia="en-US" w:bidi="en-US"/>
          </w:rPr>
          <w:t>xxx</w:t>
        </w:r>
      </w:hyperlink>
      <w:r w:rsidR="00BD05AC" w:rsidRPr="00B666C9">
        <w:rPr>
          <w:lang w:eastAsia="en-US" w:bidi="en-US"/>
        </w:rPr>
        <w:t xml:space="preserve">, </w:t>
      </w:r>
      <w:r w:rsidR="00BD05AC">
        <w:t xml:space="preserve">tel.: </w:t>
      </w:r>
      <w:r>
        <w:t>xxx</w:t>
      </w:r>
      <w:r w:rsidR="00BD05AC">
        <w:t>)</w:t>
      </w:r>
    </w:p>
    <w:p w:rsidR="008700C5" w:rsidRDefault="00BD05AC">
      <w:pPr>
        <w:pStyle w:val="Zkladntext1"/>
        <w:shd w:val="clear" w:color="auto" w:fill="auto"/>
        <w:spacing w:line="259" w:lineRule="auto"/>
        <w:ind w:left="1160" w:firstLine="20"/>
        <w:jc w:val="both"/>
      </w:pPr>
      <w:r>
        <w:t>a nabyvatel:</w:t>
      </w:r>
    </w:p>
    <w:p w:rsidR="00B666C9" w:rsidRDefault="00BD05AC">
      <w:pPr>
        <w:pStyle w:val="Zkladntext1"/>
        <w:shd w:val="clear" w:color="auto" w:fill="auto"/>
        <w:spacing w:line="252" w:lineRule="auto"/>
        <w:ind w:left="1560" w:hanging="380"/>
        <w:jc w:val="both"/>
      </w:pPr>
      <w:r>
        <w:rPr>
          <w:b/>
          <w:bCs/>
          <w:sz w:val="18"/>
          <w:szCs w:val="18"/>
        </w:rPr>
        <w:t xml:space="preserve">Národní památkový ústav, </w:t>
      </w:r>
      <w:r>
        <w:t xml:space="preserve">Generální ředitelství </w:t>
      </w:r>
      <w:r>
        <w:t xml:space="preserve">Národního památkového ústavu, Valdštejnské náměstí </w:t>
      </w:r>
    </w:p>
    <w:p w:rsidR="008700C5" w:rsidRDefault="00BD05AC">
      <w:pPr>
        <w:pStyle w:val="Zkladntext1"/>
        <w:shd w:val="clear" w:color="auto" w:fill="auto"/>
        <w:spacing w:line="252" w:lineRule="auto"/>
        <w:ind w:left="1560" w:hanging="380"/>
        <w:jc w:val="both"/>
      </w:pPr>
      <w:r>
        <w:t>162/3, 118 00 Praha 1 - Malá Strana, IČO: 75032333</w:t>
      </w:r>
    </w:p>
    <w:p w:rsidR="008700C5" w:rsidRDefault="00BD05AC">
      <w:pPr>
        <w:pStyle w:val="Zkladntext1"/>
        <w:shd w:val="clear" w:color="auto" w:fill="auto"/>
        <w:spacing w:line="259" w:lineRule="auto"/>
        <w:ind w:left="1160"/>
        <w:jc w:val="both"/>
      </w:pPr>
      <w:r>
        <w:t>Zastoupený: Ing. arch. Naděžda Goryczková, generální ředitelka</w:t>
      </w:r>
    </w:p>
    <w:p w:rsidR="008700C5" w:rsidRDefault="00BD05AC">
      <w:pPr>
        <w:pStyle w:val="Zkladntext1"/>
        <w:shd w:val="clear" w:color="auto" w:fill="auto"/>
        <w:spacing w:line="259" w:lineRule="auto"/>
        <w:ind w:left="1160"/>
        <w:jc w:val="both"/>
      </w:pPr>
      <w:r>
        <w:t>a zástupcem k jednání o věcném plnění předmětu smlouvy:</w:t>
      </w:r>
    </w:p>
    <w:p w:rsidR="008700C5" w:rsidRDefault="00B666C9">
      <w:pPr>
        <w:pStyle w:val="Zkladntext1"/>
        <w:shd w:val="clear" w:color="auto" w:fill="auto"/>
        <w:spacing w:after="420" w:line="259" w:lineRule="auto"/>
        <w:ind w:left="1160"/>
        <w:jc w:val="both"/>
      </w:pPr>
      <w:r>
        <w:t>xxx</w:t>
      </w:r>
      <w:r w:rsidR="00BD05AC">
        <w:t xml:space="preserve"> </w:t>
      </w:r>
      <w:r w:rsidR="00BD05AC" w:rsidRPr="00B666C9">
        <w:rPr>
          <w:lang w:eastAsia="en-US" w:bidi="en-US"/>
        </w:rPr>
        <w:t>(</w:t>
      </w:r>
      <w:hyperlink r:id="rId8" w:history="1">
        <w:r>
          <w:rPr>
            <w:lang w:eastAsia="en-US" w:bidi="en-US"/>
          </w:rPr>
          <w:t>xxx</w:t>
        </w:r>
      </w:hyperlink>
      <w:r w:rsidR="00BD05AC" w:rsidRPr="00B666C9">
        <w:rPr>
          <w:lang w:eastAsia="en-US" w:bidi="en-US"/>
        </w:rPr>
        <w:t xml:space="preserve">, </w:t>
      </w:r>
      <w:r w:rsidR="00BD05AC">
        <w:t xml:space="preserve">tel.: </w:t>
      </w:r>
      <w:r>
        <w:t>xxx</w:t>
      </w:r>
      <w:r w:rsidR="00BD05AC">
        <w:t>)</w:t>
      </w:r>
    </w:p>
    <w:p w:rsidR="008700C5" w:rsidRDefault="00BD05AC">
      <w:pPr>
        <w:pStyle w:val="Zkladntext1"/>
        <w:shd w:val="clear" w:color="auto" w:fill="auto"/>
        <w:spacing w:after="200"/>
        <w:ind w:left="1160" w:firstLine="20"/>
        <w:jc w:val="both"/>
      </w:pPr>
      <w:r>
        <w:t>(společně dále také jako "smluvní strany")</w:t>
      </w:r>
    </w:p>
    <w:p w:rsidR="008700C5" w:rsidRDefault="00BD05AC">
      <w:pPr>
        <w:pStyle w:val="Zkladntext1"/>
        <w:shd w:val="clear" w:color="auto" w:fill="auto"/>
        <w:spacing w:after="200" w:line="259" w:lineRule="auto"/>
        <w:ind w:left="1160" w:firstLine="20"/>
        <w:jc w:val="both"/>
      </w:pPr>
      <w:r>
        <w:t xml:space="preserve">Národní zemědělské muzeum, s. p. o. (dále jen "NZM" nebo "poskytovatel") a NPÚ (dále také jen "nabyvatel") </w:t>
      </w:r>
      <w:r>
        <w:t>se dohodli na následujícím obsahu smlouvy takto:</w:t>
      </w:r>
    </w:p>
    <w:p w:rsidR="008700C5" w:rsidRDefault="00BD05AC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Účel smlouvy</w:t>
      </w:r>
    </w:p>
    <w:p w:rsidR="008700C5" w:rsidRDefault="00BD05AC">
      <w:pPr>
        <w:pStyle w:val="Zkladntext1"/>
        <w:numPr>
          <w:ilvl w:val="0"/>
          <w:numId w:val="2"/>
        </w:numPr>
        <w:shd w:val="clear" w:color="auto" w:fill="auto"/>
        <w:tabs>
          <w:tab w:val="left" w:pos="1567"/>
        </w:tabs>
        <w:spacing w:line="257" w:lineRule="auto"/>
        <w:ind w:left="1560" w:hanging="380"/>
        <w:jc w:val="both"/>
      </w:pPr>
      <w:r>
        <w:t>Předmětem této smlouvy je úprava vzájemných práv a povinností poskytovatele a nabyvatele při poskytování reprodukčních práv k dílu specifikovanému v příloze č. 1 ke smlouvě, která je nedílnou so</w:t>
      </w:r>
      <w:r>
        <w:t>učástí této smlouvy, (dále jako "Dílo"), a to pro účely obrazové přílohy publikace Letní rezidence Pražanů, Černošice a vilová architektura 19. a 20. století, (vydavatel: NPU, náklad 800 ks, anglické a německé resumé, rok vydání: 2022).</w:t>
      </w:r>
    </w:p>
    <w:p w:rsidR="008700C5" w:rsidRDefault="00BD05AC">
      <w:pPr>
        <w:pStyle w:val="Zkladntext1"/>
        <w:numPr>
          <w:ilvl w:val="0"/>
          <w:numId w:val="2"/>
        </w:numPr>
        <w:shd w:val="clear" w:color="auto" w:fill="auto"/>
        <w:tabs>
          <w:tab w:val="left" w:pos="1567"/>
        </w:tabs>
        <w:spacing w:after="200" w:line="257" w:lineRule="auto"/>
        <w:ind w:left="1560" w:hanging="380"/>
        <w:jc w:val="both"/>
      </w:pPr>
      <w:r>
        <w:t xml:space="preserve">NZM prohlašuje, že </w:t>
      </w:r>
      <w:r>
        <w:t>je oprávněno poskytnout reprodukční právo k účelu stanovenému v odst. 1 tohoto článku.</w:t>
      </w:r>
    </w:p>
    <w:p w:rsidR="008700C5" w:rsidRDefault="00BD05A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8"/>
        </w:tabs>
      </w:pPr>
      <w:bookmarkStart w:id="4" w:name="bookmark4"/>
      <w:bookmarkStart w:id="5" w:name="bookmark5"/>
      <w:r>
        <w:t>Reprodukční právo</w:t>
      </w:r>
      <w:bookmarkEnd w:id="4"/>
      <w:bookmarkEnd w:id="5"/>
    </w:p>
    <w:p w:rsidR="008700C5" w:rsidRDefault="00BD05AC">
      <w:pPr>
        <w:pStyle w:val="Zkladntext1"/>
        <w:numPr>
          <w:ilvl w:val="0"/>
          <w:numId w:val="3"/>
        </w:numPr>
        <w:shd w:val="clear" w:color="auto" w:fill="auto"/>
        <w:tabs>
          <w:tab w:val="left" w:pos="1567"/>
        </w:tabs>
        <w:ind w:left="1560" w:hanging="380"/>
        <w:jc w:val="both"/>
      </w:pPr>
      <w:r>
        <w:t xml:space="preserve">NZM tímto uděluje nabyvateli jednorázové reprodukční právo k užití Díla pouze k účelu uvedenému v článku </w:t>
      </w:r>
      <w:r w:rsidRPr="00B666C9">
        <w:rPr>
          <w:lang w:eastAsia="en-US" w:bidi="en-US"/>
        </w:rPr>
        <w:t xml:space="preserve">I. </w:t>
      </w:r>
      <w:r>
        <w:t>odst. 1 této smlouvy. Nabyvatel není oprávn</w:t>
      </w:r>
      <w:r>
        <w:t xml:space="preserve">ěn užít reprodukci k jinému účelu. Splněním účelu uvedeného v článku </w:t>
      </w:r>
      <w:r w:rsidRPr="00B666C9">
        <w:rPr>
          <w:lang w:eastAsia="en-US" w:bidi="en-US"/>
        </w:rPr>
        <w:t xml:space="preserve">I. </w:t>
      </w:r>
      <w:r>
        <w:t>odst. 1 této smlouvy dochází k zániku reprodukčního práva bez ohledu na dobu, na kterou bylo reprodukční právo poskytnuto.</w:t>
      </w:r>
    </w:p>
    <w:p w:rsidR="008700C5" w:rsidRDefault="00BD05AC">
      <w:pPr>
        <w:pStyle w:val="Zkladntext1"/>
        <w:numPr>
          <w:ilvl w:val="0"/>
          <w:numId w:val="3"/>
        </w:numPr>
        <w:shd w:val="clear" w:color="auto" w:fill="auto"/>
        <w:tabs>
          <w:tab w:val="left" w:pos="1567"/>
        </w:tabs>
        <w:ind w:left="1160"/>
        <w:jc w:val="both"/>
      </w:pPr>
      <w:r>
        <w:t>Poskytovatel poskytuje nabyvateli reprodukční právo k Dílu úz</w:t>
      </w:r>
      <w:r>
        <w:t>emně neomezené.</w:t>
      </w:r>
    </w:p>
    <w:p w:rsidR="008700C5" w:rsidRDefault="00BD05AC">
      <w:pPr>
        <w:pStyle w:val="Zkladntext1"/>
        <w:numPr>
          <w:ilvl w:val="0"/>
          <w:numId w:val="3"/>
        </w:numPr>
        <w:shd w:val="clear" w:color="auto" w:fill="auto"/>
        <w:tabs>
          <w:tab w:val="left" w:pos="1567"/>
        </w:tabs>
        <w:ind w:left="1160"/>
        <w:jc w:val="both"/>
      </w:pPr>
      <w:r>
        <w:t>Nabyvatel není oprávněn postoupit práva z této smlouvy třetí osobě.</w:t>
      </w:r>
    </w:p>
    <w:p w:rsidR="008700C5" w:rsidRDefault="00BD05AC">
      <w:pPr>
        <w:pStyle w:val="Zkladntext1"/>
        <w:numPr>
          <w:ilvl w:val="0"/>
          <w:numId w:val="3"/>
        </w:numPr>
        <w:shd w:val="clear" w:color="auto" w:fill="auto"/>
        <w:tabs>
          <w:tab w:val="left" w:pos="1567"/>
        </w:tabs>
        <w:spacing w:after="200"/>
        <w:ind w:left="1560" w:hanging="380"/>
        <w:jc w:val="both"/>
      </w:pPr>
      <w:r>
        <w:t>Nabyvatel není oprávněn udělit reprodukční právo třetí osobě bez předchozího písemného souhlasu NZM.</w:t>
      </w:r>
    </w:p>
    <w:p w:rsidR="008700C5" w:rsidRDefault="00BD05A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38"/>
        </w:tabs>
      </w:pPr>
      <w:bookmarkStart w:id="6" w:name="bookmark6"/>
      <w:bookmarkStart w:id="7" w:name="bookmark7"/>
      <w:r>
        <w:t>Odměna za poskytnutí reprodukčního práva</w:t>
      </w:r>
      <w:bookmarkEnd w:id="6"/>
      <w:bookmarkEnd w:id="7"/>
    </w:p>
    <w:p w:rsidR="008700C5" w:rsidRDefault="00BD05AC">
      <w:pPr>
        <w:pStyle w:val="Zkladntext1"/>
        <w:numPr>
          <w:ilvl w:val="0"/>
          <w:numId w:val="4"/>
        </w:numPr>
        <w:shd w:val="clear" w:color="auto" w:fill="auto"/>
        <w:tabs>
          <w:tab w:val="left" w:pos="1567"/>
        </w:tabs>
        <w:ind w:left="1560" w:hanging="380"/>
        <w:jc w:val="both"/>
      </w:pPr>
      <w:r>
        <w:t xml:space="preserve">Odměna za poskytnutí </w:t>
      </w:r>
      <w:r>
        <w:t>reprodukčního práva se sjednává ve výši 0 Kč na základě prominutí reprodukčního poplatku za využití snímků pro vědecké účely dle bodu 6.1. Ceníku služeb a reprodukčních poplatků NZM (</w:t>
      </w:r>
      <w:r>
        <w:rPr>
          <w:u w:val="single"/>
        </w:rPr>
        <w:t xml:space="preserve">https://www. </w:t>
      </w:r>
      <w:r w:rsidRPr="00B666C9">
        <w:rPr>
          <w:u w:val="single"/>
          <w:lang w:eastAsia="en-US" w:bidi="en-US"/>
        </w:rPr>
        <w:t>nzm.cz/sbirka/cenik-sluzeb-a-reprodukcnich-poDlatku</w:t>
      </w:r>
      <w:r w:rsidRPr="00B666C9">
        <w:rPr>
          <w:lang w:eastAsia="en-US" w:bidi="en-US"/>
        </w:rPr>
        <w:t>).</w:t>
      </w:r>
    </w:p>
    <w:p w:rsidR="008700C5" w:rsidRDefault="00BD05AC">
      <w:pPr>
        <w:pStyle w:val="Zkladntext1"/>
        <w:numPr>
          <w:ilvl w:val="0"/>
          <w:numId w:val="4"/>
        </w:numPr>
        <w:shd w:val="clear" w:color="auto" w:fill="auto"/>
        <w:tabs>
          <w:tab w:val="left" w:pos="1567"/>
        </w:tabs>
        <w:ind w:left="1560" w:hanging="380"/>
        <w:jc w:val="both"/>
      </w:pPr>
      <w:r>
        <w:t>Cena j</w:t>
      </w:r>
      <w:r>
        <w:t>e stanovena dohodou smluvních stran a v souladu se zák. č. 526/1990 Sb., o cenách, ve znění pozdějších předpisů. Nabyvatel prohlašuje, že sjednaná cena je úměrná a odpovídá poskytnutému reprodukčnímu právu.</w:t>
      </w:r>
    </w:p>
    <w:p w:rsidR="008700C5" w:rsidRDefault="00BD05AC">
      <w:pPr>
        <w:pStyle w:val="Zkladntext1"/>
        <w:numPr>
          <w:ilvl w:val="0"/>
          <w:numId w:val="4"/>
        </w:numPr>
        <w:shd w:val="clear" w:color="auto" w:fill="auto"/>
        <w:tabs>
          <w:tab w:val="left" w:pos="1567"/>
        </w:tabs>
        <w:spacing w:after="200"/>
        <w:ind w:left="1160"/>
        <w:jc w:val="both"/>
      </w:pPr>
      <w:r>
        <w:t>Odměna je splatná do 14 dnů od podpisu této smlou</w:t>
      </w:r>
      <w:r>
        <w:t>vy.</w:t>
      </w:r>
    </w:p>
    <w:p w:rsidR="008700C5" w:rsidRDefault="00BD05A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7"/>
        </w:tabs>
      </w:pPr>
      <w:bookmarkStart w:id="8" w:name="bookmark8"/>
      <w:bookmarkStart w:id="9" w:name="bookmark9"/>
      <w:r>
        <w:t>Práva a povinnosti nabyvatele</w:t>
      </w:r>
      <w:bookmarkEnd w:id="8"/>
      <w:bookmarkEnd w:id="9"/>
    </w:p>
    <w:p w:rsidR="008700C5" w:rsidRDefault="00BD05AC">
      <w:pPr>
        <w:pStyle w:val="Zkladntext1"/>
        <w:numPr>
          <w:ilvl w:val="0"/>
          <w:numId w:val="5"/>
        </w:numPr>
        <w:shd w:val="clear" w:color="auto" w:fill="auto"/>
        <w:tabs>
          <w:tab w:val="left" w:pos="1567"/>
        </w:tabs>
        <w:ind w:left="1160"/>
        <w:jc w:val="both"/>
      </w:pPr>
      <w:r>
        <w:t>Nabyvatel není povinen reprodukční právo využít.</w:t>
      </w:r>
    </w:p>
    <w:p w:rsidR="008700C5" w:rsidRDefault="00BD05AC">
      <w:pPr>
        <w:pStyle w:val="Zkladntext1"/>
        <w:numPr>
          <w:ilvl w:val="0"/>
          <w:numId w:val="5"/>
        </w:numPr>
        <w:shd w:val="clear" w:color="auto" w:fill="auto"/>
        <w:tabs>
          <w:tab w:val="left" w:pos="1567"/>
          <w:tab w:val="left" w:pos="5896"/>
        </w:tabs>
        <w:ind w:left="1160"/>
        <w:jc w:val="both"/>
      </w:pPr>
      <w:r>
        <w:t>Nabyvatel ne</w:t>
      </w:r>
      <w:r w:rsidR="00B666C9">
        <w:t xml:space="preserve">ní oprávněn upravit nebo změnit </w:t>
      </w:r>
      <w:r>
        <w:t>označení autora Díla, ani název Díla.</w:t>
      </w:r>
    </w:p>
    <w:p w:rsidR="008700C5" w:rsidRDefault="00B666C9">
      <w:pPr>
        <w:pStyle w:val="Zkladntext1"/>
        <w:numPr>
          <w:ilvl w:val="0"/>
          <w:numId w:val="5"/>
        </w:numPr>
        <w:shd w:val="clear" w:color="auto" w:fill="auto"/>
        <w:tabs>
          <w:tab w:val="left" w:pos="1567"/>
          <w:tab w:val="left" w:pos="5889"/>
          <w:tab w:val="left" w:pos="6857"/>
          <w:tab w:val="center" w:pos="9714"/>
        </w:tabs>
        <w:ind w:left="1160"/>
        <w:jc w:val="both"/>
      </w:pPr>
      <w:r>
        <w:t xml:space="preserve">Nabyvatel je - </w:t>
      </w:r>
      <w:r w:rsidRPr="00B666C9">
        <w:rPr>
          <w:strike/>
        </w:rPr>
        <w:t>není</w:t>
      </w:r>
      <w:r w:rsidR="00BD05AC">
        <w:rPr>
          <w:vertAlign w:val="superscript"/>
        </w:rPr>
        <w:t>1</w:t>
      </w:r>
      <w:r w:rsidR="00BD05AC">
        <w:t xml:space="preserve"> oprávněn Dílo zveřejnit.</w:t>
      </w:r>
      <w:r>
        <w:t xml:space="preserve"> Nabyvatel </w:t>
      </w:r>
      <w:r w:rsidR="00BD05AC">
        <w:t xml:space="preserve">je - </w:t>
      </w:r>
      <w:r w:rsidR="00BD05AC" w:rsidRPr="00B666C9">
        <w:rPr>
          <w:strike/>
        </w:rPr>
        <w:t>není</w:t>
      </w:r>
      <w:r w:rsidR="00BD05AC">
        <w:rPr>
          <w:vertAlign w:val="superscript"/>
        </w:rPr>
        <w:t>1</w:t>
      </w:r>
      <w:r>
        <w:t xml:space="preserve"> oprávněn zveřejnit </w:t>
      </w:r>
      <w:r w:rsidR="00BD05AC">
        <w:t>rozmnoženiny</w:t>
      </w:r>
    </w:p>
    <w:p w:rsidR="008700C5" w:rsidRDefault="00BD05AC">
      <w:pPr>
        <w:pStyle w:val="Zkladntext1"/>
        <w:shd w:val="clear" w:color="auto" w:fill="auto"/>
        <w:tabs>
          <w:tab w:val="left" w:pos="5882"/>
          <w:tab w:val="left" w:pos="6850"/>
        </w:tabs>
        <w:ind w:left="1560"/>
        <w:jc w:val="both"/>
      </w:pPr>
      <w:r>
        <w:t>Díla nebo jeho</w:t>
      </w:r>
      <w:r w:rsidR="00B666C9">
        <w:t xml:space="preserve"> fotografie nebo filmové záběry </w:t>
      </w:r>
      <w:r>
        <w:t>Díla apod.</w:t>
      </w:r>
      <w:r w:rsidR="00B666C9">
        <w:t xml:space="preserve"> </w:t>
      </w:r>
      <w:r>
        <w:t>(dále jako "reprodukce Díla").</w:t>
      </w:r>
    </w:p>
    <w:p w:rsidR="008700C5" w:rsidRDefault="00BD05AC" w:rsidP="00B666C9">
      <w:pPr>
        <w:pStyle w:val="Zkladntext1"/>
        <w:numPr>
          <w:ilvl w:val="0"/>
          <w:numId w:val="5"/>
        </w:numPr>
        <w:shd w:val="clear" w:color="auto" w:fill="auto"/>
        <w:tabs>
          <w:tab w:val="left" w:pos="1560"/>
        </w:tabs>
        <w:ind w:left="1560" w:hanging="406"/>
        <w:jc w:val="both"/>
      </w:pPr>
      <w:r>
        <w:t>Při jakémkoli</w:t>
      </w:r>
      <w:r w:rsidR="00B666C9">
        <w:t xml:space="preserve">v zveřejnění reprodukce Díla je nabyvatel </w:t>
      </w:r>
      <w:r>
        <w:t>povinen uvést NZM jako vlastníka</w:t>
      </w:r>
      <w:r w:rsidR="00B666C9">
        <w:t xml:space="preserve"> </w:t>
      </w:r>
      <w:r>
        <w:t>originální</w:t>
      </w:r>
      <w:r w:rsidR="00B666C9">
        <w:t xml:space="preserve"> </w:t>
      </w:r>
      <w:r>
        <w:t xml:space="preserve">předlohy </w:t>
      </w:r>
      <w:r>
        <w:t xml:space="preserve">a autorských práv k ní. Nabyvatel je povinen při rozšiřování reprodukce Díla u každé reprodukce Díla uvést popisku s následujícím textem: Sbírka Národního zemědělského muzea </w:t>
      </w:r>
      <w:r w:rsidRPr="00B666C9">
        <w:rPr>
          <w:lang w:eastAsia="en-US" w:bidi="en-US"/>
        </w:rPr>
        <w:t>(Collection of the National Museum of Agriculture).</w:t>
      </w:r>
    </w:p>
    <w:p w:rsidR="008700C5" w:rsidRDefault="00BD05AC">
      <w:pPr>
        <w:pStyle w:val="Zkladntext1"/>
        <w:numPr>
          <w:ilvl w:val="0"/>
          <w:numId w:val="5"/>
        </w:numPr>
        <w:shd w:val="clear" w:color="auto" w:fill="auto"/>
        <w:tabs>
          <w:tab w:val="left" w:pos="1567"/>
        </w:tabs>
        <w:spacing w:after="280"/>
        <w:ind w:left="1560" w:hanging="380"/>
        <w:jc w:val="both"/>
      </w:pPr>
      <w:r>
        <w:t>Při rozšiřování repro</w:t>
      </w:r>
      <w:r>
        <w:t>dukce Díla za podmínek podle této smlouvy je nabyvatel povinen zaplatit poplatek dle platného Ceníku služeb a reprodukčních poplatků NZM za stejných podmínek splatnosti, které jsou</w:t>
      </w:r>
    </w:p>
    <w:p w:rsidR="008700C5" w:rsidRDefault="00BD05AC" w:rsidP="00B666C9">
      <w:pPr>
        <w:pStyle w:val="Zkladntext1"/>
        <w:pBdr>
          <w:top w:val="single" w:sz="4" w:space="0" w:color="auto"/>
        </w:pBdr>
        <w:shd w:val="clear" w:color="auto" w:fill="auto"/>
        <w:spacing w:line="240" w:lineRule="auto"/>
        <w:ind w:left="1560" w:hanging="400"/>
        <w:jc w:val="both"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nehodící se škrtněte</w:t>
      </w:r>
      <w:r>
        <w:rPr>
          <w:sz w:val="16"/>
          <w:szCs w:val="16"/>
        </w:rPr>
        <w:br w:type="page"/>
      </w:r>
      <w:r>
        <w:lastRenderedPageBreak/>
        <w:t>dohodnuty v předchozím článku III. této smlouvy (pla</w:t>
      </w:r>
      <w:r>
        <w:t xml:space="preserve">tný ceník uveřejněn na </w:t>
      </w:r>
      <w:hyperlink r:id="rId9" w:history="1">
        <w:r w:rsidR="00B666C9" w:rsidRPr="002567C1">
          <w:rPr>
            <w:rStyle w:val="Hypertextovodkaz"/>
            <w:lang w:eastAsia="en-US" w:bidi="en-US"/>
          </w:rPr>
          <w:t>https://www.nzm.cz/sbirka/cenik-sluzeb-a-reprodukcnich-poplatku</w:t>
        </w:r>
      </w:hyperlink>
      <w:r w:rsidRPr="00B666C9">
        <w:rPr>
          <w:lang w:eastAsia="en-US" w:bidi="en-US"/>
        </w:rPr>
        <w:t>).</w:t>
      </w:r>
    </w:p>
    <w:p w:rsidR="008700C5" w:rsidRDefault="00BD05AC">
      <w:pPr>
        <w:pStyle w:val="Zkladntext1"/>
        <w:numPr>
          <w:ilvl w:val="0"/>
          <w:numId w:val="5"/>
        </w:numPr>
        <w:shd w:val="clear" w:color="auto" w:fill="auto"/>
        <w:tabs>
          <w:tab w:val="left" w:pos="1594"/>
        </w:tabs>
        <w:ind w:left="1580" w:hanging="380"/>
        <w:jc w:val="both"/>
      </w:pPr>
      <w:r>
        <w:t>Nabyvatel a poskytovatel se dohodli, že pokud dojde k použití a zveřejnění reprodukce Díl</w:t>
      </w:r>
      <w:r>
        <w:t>a bez souhlasu NZM, nebo pokud bude Dílo nebo reprodukce Díla použita pro jiný než dohodnutý účel, bude NZM vymáhat od nabyvatele dodatečnou úhradu poplatku za souhlas s reprodukcí podle předchozího odstavce. Nabyvatel je dále povinen při takovémto porušen</w:t>
      </w:r>
      <w:r>
        <w:t>í smlouvy uhradit NZM smluvní pokutu ve výši 1.500 Kč za každý jednotlivý případ zjištěného porušení této smlouvy. Smluvní pokuta je splatná do 14 dnů od doručení výzvy k jejímu uhrazení, přičemž za tuto výzvu je dle dohody smluvních stran považována i fak</w:t>
      </w:r>
      <w:r>
        <w:t>tura. Právo na náhradu škody tím není dotčeno.</w:t>
      </w:r>
    </w:p>
    <w:p w:rsidR="008700C5" w:rsidRDefault="00BD05AC">
      <w:pPr>
        <w:pStyle w:val="Zkladntext1"/>
        <w:numPr>
          <w:ilvl w:val="0"/>
          <w:numId w:val="5"/>
        </w:numPr>
        <w:shd w:val="clear" w:color="auto" w:fill="auto"/>
        <w:tabs>
          <w:tab w:val="left" w:pos="1594"/>
        </w:tabs>
        <w:spacing w:after="200"/>
        <w:ind w:left="1580" w:hanging="380"/>
        <w:jc w:val="both"/>
      </w:pPr>
      <w:r>
        <w:t xml:space="preserve">Nabyvatel předá poskytovateli k archivačním účelům bezplatně nejméně tři (3) kusy od každé publikace (katalog, průvodce výstavou, apod.) vydané v souvislosti s účelem smlouvy. Kontaktní adresa: </w:t>
      </w:r>
      <w:r w:rsidR="00B666C9">
        <w:t>xxx</w:t>
      </w:r>
      <w:r>
        <w:t>, Národní zemědělské muzeum, Kostelní 1300/44, 170 00 Praha 7.</w:t>
      </w:r>
    </w:p>
    <w:p w:rsidR="008700C5" w:rsidRDefault="00BD05A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</w:pPr>
      <w:bookmarkStart w:id="10" w:name="bookmark10"/>
      <w:bookmarkStart w:id="11" w:name="bookmark11"/>
      <w:r>
        <w:t>Závěrečná ustanovení</w:t>
      </w:r>
      <w:bookmarkEnd w:id="10"/>
      <w:bookmarkEnd w:id="11"/>
    </w:p>
    <w:p w:rsidR="008700C5" w:rsidRDefault="00BD05AC">
      <w:pPr>
        <w:pStyle w:val="Zkladntext1"/>
        <w:numPr>
          <w:ilvl w:val="0"/>
          <w:numId w:val="6"/>
        </w:numPr>
        <w:shd w:val="clear" w:color="auto" w:fill="auto"/>
        <w:tabs>
          <w:tab w:val="left" w:pos="1594"/>
        </w:tabs>
        <w:ind w:left="1180"/>
        <w:jc w:val="both"/>
      </w:pPr>
      <w:r>
        <w:t>Smlouva nabývá platnosti a účinnosti dnem podpisu oběma smluvními stranami.</w:t>
      </w:r>
    </w:p>
    <w:p w:rsidR="008700C5" w:rsidRDefault="00BD05AC">
      <w:pPr>
        <w:pStyle w:val="Zkladntext1"/>
        <w:numPr>
          <w:ilvl w:val="0"/>
          <w:numId w:val="6"/>
        </w:numPr>
        <w:shd w:val="clear" w:color="auto" w:fill="auto"/>
        <w:tabs>
          <w:tab w:val="left" w:pos="1594"/>
        </w:tabs>
        <w:ind w:left="1580" w:hanging="380"/>
        <w:jc w:val="both"/>
      </w:pPr>
      <w:r>
        <w:t xml:space="preserve">Nabyvatel podpisem pod touto smlouvou na sebe přebírá ve smyslu ustanovení § 1765 odst. 2 </w:t>
      </w:r>
      <w:r>
        <w:t>zákona 89/2012 Sb., občanský zákoník, ve znění pozdějších předpisů (dále jen "občanský zákoník"), nebezpečí změny okolností a nebude v tomto smyslu žádat obnovení jednání o obsahu této smlouvy.</w:t>
      </w:r>
    </w:p>
    <w:p w:rsidR="008700C5" w:rsidRDefault="00BD05AC">
      <w:pPr>
        <w:pStyle w:val="Zkladntext1"/>
        <w:numPr>
          <w:ilvl w:val="0"/>
          <w:numId w:val="6"/>
        </w:numPr>
        <w:shd w:val="clear" w:color="auto" w:fill="auto"/>
        <w:tabs>
          <w:tab w:val="left" w:pos="1594"/>
        </w:tabs>
        <w:ind w:left="1580" w:hanging="380"/>
        <w:jc w:val="both"/>
      </w:pPr>
      <w:r>
        <w:t>Obě smluvní strany prohlašují, že jednotlivé články jsou dosta</w:t>
      </w:r>
      <w:r>
        <w:t>tečné z hlediska náležitostí pro vznik smluvního vztahu ve smyslu ustanovení § 1726 občanského zákoníku, a že bylo využito smluvní volnosti stran a tato smlouva se uzavírá určitě, vážně a srozumitelně.</w:t>
      </w:r>
    </w:p>
    <w:p w:rsidR="008700C5" w:rsidRDefault="00BD05AC">
      <w:pPr>
        <w:pStyle w:val="Zkladntext1"/>
        <w:numPr>
          <w:ilvl w:val="0"/>
          <w:numId w:val="6"/>
        </w:numPr>
        <w:shd w:val="clear" w:color="auto" w:fill="auto"/>
        <w:tabs>
          <w:tab w:val="left" w:pos="1594"/>
        </w:tabs>
        <w:ind w:left="1580" w:hanging="380"/>
        <w:jc w:val="both"/>
      </w:pPr>
      <w:r>
        <w:t>Dodatky k této smlouvě lze uzavírat pouze písemnou lis</w:t>
      </w:r>
      <w:r>
        <w:t>tinnou formou. Jakákoliv změna této smlouvy v jiné než listinné formě se tímto ve smyslu ustanovení § 564 občanského zákoníku vylučuje.</w:t>
      </w:r>
    </w:p>
    <w:p w:rsidR="008700C5" w:rsidRDefault="00BD05AC">
      <w:pPr>
        <w:pStyle w:val="Zkladntext1"/>
        <w:numPr>
          <w:ilvl w:val="0"/>
          <w:numId w:val="6"/>
        </w:numPr>
        <w:shd w:val="clear" w:color="auto" w:fill="auto"/>
        <w:tabs>
          <w:tab w:val="left" w:pos="1594"/>
        </w:tabs>
        <w:ind w:left="1580" w:hanging="380"/>
        <w:jc w:val="both"/>
      </w:pPr>
      <w:r>
        <w:t xml:space="preserve">Tato smlouva se řídí českým právním řádem s vyloučením kolizních norem a k rozhodování sporů z této smlouvy jsou </w:t>
      </w:r>
      <w:r>
        <w:t>příslušné české soudy podle českého práva.</w:t>
      </w:r>
    </w:p>
    <w:p w:rsidR="008700C5" w:rsidRDefault="00BD05AC">
      <w:pPr>
        <w:pStyle w:val="Zkladntext1"/>
        <w:numPr>
          <w:ilvl w:val="0"/>
          <w:numId w:val="6"/>
        </w:numPr>
        <w:shd w:val="clear" w:color="auto" w:fill="auto"/>
        <w:tabs>
          <w:tab w:val="left" w:pos="1594"/>
        </w:tabs>
        <w:ind w:left="1580" w:hanging="380"/>
        <w:jc w:val="both"/>
      </w:pPr>
      <w:r>
        <w:t>Nabyvatel bere na vědomí a souhlasí s tím, že tato smlouva bude v souladu se zákonem č. 340/2015 Sb., o zvláštních podmínkách účinnosti některých smluv, uveřejňování těchto smluv a o registru smluv ve znění pozděj</w:t>
      </w:r>
      <w:r>
        <w:t>ších předpisů zveřejněna v registru smluv. Uveřejnění postupem podle zákona č. 340/2015 Sb., o registru smluv, zajistí NZM. Přílohy této smlouvy mají důvěrnou povahu z důvodu ochrany sbírkových předmětů a nejsou určeny ke zveřejnění.</w:t>
      </w:r>
    </w:p>
    <w:p w:rsidR="00331AE4" w:rsidRDefault="00BD05AC" w:rsidP="00331AE4">
      <w:pPr>
        <w:pStyle w:val="Zkladntext1"/>
        <w:numPr>
          <w:ilvl w:val="0"/>
          <w:numId w:val="6"/>
        </w:numPr>
        <w:shd w:val="clear" w:color="auto" w:fill="auto"/>
        <w:tabs>
          <w:tab w:val="left" w:pos="1594"/>
        </w:tabs>
        <w:spacing w:after="540"/>
        <w:ind w:left="1580" w:hanging="380"/>
        <w:jc w:val="both"/>
      </w:pPr>
      <w:r>
        <w:t xml:space="preserve">Smlouva se vyhotovuje </w:t>
      </w:r>
      <w:r>
        <w:t>ve čtyřech vyhotoveních s platností originálu, z nichž NZM obdrží po třech výtiscích a nabyvatel po jednom výtisku.</w:t>
      </w:r>
    </w:p>
    <w:p w:rsidR="00331AE4" w:rsidRDefault="00BD05AC" w:rsidP="00331AE4">
      <w:pPr>
        <w:pStyle w:val="Zkladntext1"/>
        <w:shd w:val="clear" w:color="auto" w:fill="auto"/>
        <w:tabs>
          <w:tab w:val="left" w:pos="1594"/>
        </w:tabs>
        <w:spacing w:after="540"/>
        <w:ind w:left="1580"/>
        <w:jc w:val="both"/>
      </w:pPr>
      <w:r>
        <w:t>V Praze dne</w:t>
      </w:r>
    </w:p>
    <w:p w:rsidR="00331AE4" w:rsidRDefault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jc w:val="center"/>
      </w:pPr>
    </w:p>
    <w:p w:rsidR="00331AE4" w:rsidRDefault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jc w:val="center"/>
      </w:pPr>
    </w:p>
    <w:p w:rsidR="00331AE4" w:rsidRDefault="00331AE4" w:rsidP="00331AE4">
      <w:pPr>
        <w:widowControl/>
        <w:ind w:left="2832" w:firstLine="708"/>
        <w:rPr>
          <w:rFonts w:ascii="Verdana" w:eastAsia="Times New Roman" w:hAnsi="Verdana" w:cs="Verdana"/>
          <w:sz w:val="17"/>
          <w:szCs w:val="17"/>
          <w:lang w:bidi="ar-SA"/>
        </w:rPr>
      </w:pPr>
      <w:r w:rsidRPr="00331AE4">
        <w:rPr>
          <w:rFonts w:ascii="Verdana" w:eastAsia="Times New Roman" w:hAnsi="Verdana" w:cs="Verdana"/>
          <w:sz w:val="17"/>
          <w:szCs w:val="17"/>
          <w:lang w:bidi="ar-SA"/>
        </w:rPr>
        <w:t xml:space="preserve">Ing. Zdeněk Novák </w:t>
      </w:r>
      <w:bookmarkStart w:id="12" w:name="_GoBack"/>
      <w:bookmarkEnd w:id="12"/>
    </w:p>
    <w:p w:rsidR="00331AE4" w:rsidRDefault="00331AE4" w:rsidP="00331AE4">
      <w:pPr>
        <w:widowControl/>
        <w:ind w:left="2832" w:firstLine="708"/>
        <w:rPr>
          <w:rFonts w:ascii="Verdana" w:eastAsia="Times New Roman" w:hAnsi="Verdana" w:cs="Verdana"/>
          <w:sz w:val="17"/>
          <w:szCs w:val="17"/>
          <w:lang w:bidi="ar-SA"/>
        </w:rPr>
      </w:pPr>
      <w:r w:rsidRPr="00331AE4">
        <w:rPr>
          <w:rFonts w:ascii="Verdana" w:eastAsia="Times New Roman" w:hAnsi="Verdana" w:cs="Verdana"/>
          <w:sz w:val="17"/>
          <w:szCs w:val="17"/>
          <w:lang w:bidi="ar-SA"/>
        </w:rPr>
        <w:t xml:space="preserve">generální ředitel </w:t>
      </w:r>
    </w:p>
    <w:p w:rsidR="00331AE4" w:rsidRPr="00331AE4" w:rsidRDefault="00331AE4" w:rsidP="00331AE4">
      <w:pPr>
        <w:widowControl/>
        <w:ind w:left="2124" w:firstLine="708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331AE4">
        <w:rPr>
          <w:rFonts w:ascii="Verdana" w:eastAsia="Times New Roman" w:hAnsi="Verdana" w:cs="Verdana"/>
          <w:sz w:val="17"/>
          <w:szCs w:val="17"/>
          <w:lang w:bidi="ar-SA"/>
        </w:rPr>
        <w:t>Národní zemědělské muzeum, s. p. o.</w:t>
      </w:r>
    </w:p>
    <w:p w:rsidR="00331AE4" w:rsidRDefault="00331AE4" w:rsidP="00331AE4">
      <w:pPr>
        <w:pStyle w:val="Zkladntext1"/>
        <w:shd w:val="clear" w:color="auto" w:fill="auto"/>
        <w:spacing w:line="240" w:lineRule="auto"/>
        <w:ind w:left="1416"/>
        <w:rPr>
          <w:sz w:val="26"/>
          <w:szCs w:val="26"/>
        </w:rPr>
      </w:pPr>
      <w:r>
        <w:rPr>
          <w:rFonts w:eastAsia="Times New Roman"/>
          <w:b/>
          <w:bCs/>
          <w:sz w:val="18"/>
          <w:szCs w:val="18"/>
          <w:lang w:bidi="ar-SA"/>
        </w:rPr>
        <w:tab/>
      </w:r>
      <w:r>
        <w:rPr>
          <w:rFonts w:eastAsia="Times New Roman"/>
          <w:b/>
          <w:bCs/>
          <w:sz w:val="18"/>
          <w:szCs w:val="18"/>
          <w:lang w:bidi="ar-SA"/>
        </w:rPr>
        <w:tab/>
      </w:r>
      <w:r>
        <w:rPr>
          <w:rFonts w:eastAsia="Times New Roman"/>
          <w:b/>
          <w:bCs/>
          <w:sz w:val="18"/>
          <w:szCs w:val="18"/>
          <w:lang w:bidi="ar-SA"/>
        </w:rPr>
        <w:tab/>
      </w:r>
      <w:r w:rsidRPr="00331AE4">
        <w:rPr>
          <w:rFonts w:eastAsia="Times New Roman"/>
          <w:b/>
          <w:bCs/>
          <w:sz w:val="18"/>
          <w:szCs w:val="18"/>
          <w:lang w:bidi="ar-SA"/>
        </w:rPr>
        <w:t>Poskytovatel</w:t>
      </w:r>
    </w:p>
    <w:p w:rsidR="00331AE4" w:rsidRDefault="00331AE4" w:rsidP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ind w:left="1416"/>
        <w:jc w:val="center"/>
        <w:rPr>
          <w:sz w:val="26"/>
          <w:szCs w:val="26"/>
        </w:rPr>
      </w:pPr>
    </w:p>
    <w:p w:rsidR="00331AE4" w:rsidRDefault="00BD05AC" w:rsidP="00331AE4">
      <w:pPr>
        <w:pStyle w:val="Zkladntext1"/>
        <w:shd w:val="clear" w:color="auto" w:fill="auto"/>
        <w:tabs>
          <w:tab w:val="left" w:pos="8789"/>
        </w:tabs>
        <w:spacing w:line="240" w:lineRule="auto"/>
        <w:ind w:left="1416" w:firstLine="4963"/>
        <w:jc w:val="center"/>
      </w:pPr>
      <w:r>
        <w:t>V</w:t>
      </w:r>
      <w:r w:rsidR="00B666C9">
        <w:t> </w:t>
      </w:r>
      <w:r>
        <w:t>dne</w:t>
      </w:r>
      <w:r w:rsidR="00B666C9">
        <w:t xml:space="preserve"> </w:t>
      </w:r>
    </w:p>
    <w:p w:rsidR="00331AE4" w:rsidRDefault="00331AE4" w:rsidP="00331AE4">
      <w:pPr>
        <w:pStyle w:val="Zkladntext1"/>
        <w:shd w:val="clear" w:color="auto" w:fill="auto"/>
        <w:tabs>
          <w:tab w:val="left" w:pos="8789"/>
        </w:tabs>
        <w:spacing w:line="240" w:lineRule="auto"/>
        <w:ind w:left="1416" w:firstLine="4963"/>
        <w:jc w:val="center"/>
      </w:pPr>
      <w:r>
        <w:t xml:space="preserve">Ing. arch. Naděžda Goryczková </w:t>
      </w:r>
    </w:p>
    <w:p w:rsidR="00331AE4" w:rsidRDefault="00331AE4" w:rsidP="00331AE4">
      <w:pPr>
        <w:pStyle w:val="Zkladntext1"/>
        <w:shd w:val="clear" w:color="auto" w:fill="auto"/>
        <w:tabs>
          <w:tab w:val="left" w:pos="8789"/>
        </w:tabs>
        <w:spacing w:line="240" w:lineRule="auto"/>
        <w:ind w:left="1416" w:firstLine="4963"/>
        <w:jc w:val="center"/>
      </w:pPr>
      <w:r>
        <w:t xml:space="preserve">generální ředitelka </w:t>
      </w:r>
    </w:p>
    <w:p w:rsidR="00331AE4" w:rsidRDefault="00331AE4" w:rsidP="00331AE4">
      <w:pPr>
        <w:pStyle w:val="Zkladntext1"/>
        <w:shd w:val="clear" w:color="auto" w:fill="auto"/>
        <w:tabs>
          <w:tab w:val="left" w:pos="8789"/>
        </w:tabs>
        <w:spacing w:line="240" w:lineRule="auto"/>
        <w:ind w:left="1416" w:firstLine="4963"/>
        <w:jc w:val="center"/>
      </w:pPr>
      <w:r>
        <w:t xml:space="preserve">Národní památkový ústav </w:t>
      </w:r>
    </w:p>
    <w:p w:rsidR="008700C5" w:rsidRDefault="00331AE4" w:rsidP="00331AE4">
      <w:pPr>
        <w:pStyle w:val="Zkladntext1"/>
        <w:shd w:val="clear" w:color="auto" w:fill="auto"/>
        <w:tabs>
          <w:tab w:val="left" w:pos="8789"/>
        </w:tabs>
        <w:spacing w:line="240" w:lineRule="auto"/>
        <w:ind w:left="1416" w:firstLine="4963"/>
        <w:jc w:val="center"/>
      </w:pPr>
      <w:r>
        <w:rPr>
          <w:b/>
          <w:bCs/>
          <w:sz w:val="18"/>
          <w:szCs w:val="18"/>
        </w:rPr>
        <w:t>nabyvatel</w:t>
      </w:r>
    </w:p>
    <w:p w:rsidR="00331AE4" w:rsidRDefault="00331AE4" w:rsidP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ind w:left="1416"/>
      </w:pPr>
    </w:p>
    <w:p w:rsidR="00331AE4" w:rsidRDefault="00331AE4" w:rsidP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ind w:left="1416"/>
      </w:pPr>
    </w:p>
    <w:p w:rsidR="00331AE4" w:rsidRDefault="00331AE4" w:rsidP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ind w:left="1416"/>
      </w:pPr>
    </w:p>
    <w:p w:rsidR="00331AE4" w:rsidRDefault="00331AE4" w:rsidP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ind w:left="1416"/>
      </w:pPr>
    </w:p>
    <w:p w:rsidR="00331AE4" w:rsidRDefault="00331AE4" w:rsidP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ind w:left="1416"/>
      </w:pPr>
    </w:p>
    <w:p w:rsidR="00331AE4" w:rsidRDefault="00331AE4" w:rsidP="00331AE4">
      <w:pPr>
        <w:pStyle w:val="Zkladntext1"/>
        <w:shd w:val="clear" w:color="auto" w:fill="auto"/>
        <w:tabs>
          <w:tab w:val="left" w:pos="5666"/>
          <w:tab w:val="right" w:leader="dot" w:pos="7708"/>
        </w:tabs>
        <w:spacing w:line="240" w:lineRule="auto"/>
        <w:ind w:left="1416"/>
        <w:sectPr w:rsidR="00331AE4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426" w:right="851" w:bottom="1232" w:left="173" w:header="0" w:footer="3" w:gutter="0"/>
          <w:pgNumType w:start="1"/>
          <w:cols w:space="720"/>
          <w:noEndnote/>
          <w:titlePg/>
          <w:docGrid w:linePitch="360"/>
        </w:sectPr>
      </w:pPr>
    </w:p>
    <w:p w:rsidR="008700C5" w:rsidRDefault="008700C5">
      <w:pPr>
        <w:spacing w:line="240" w:lineRule="exact"/>
        <w:rPr>
          <w:sz w:val="19"/>
          <w:szCs w:val="19"/>
        </w:rPr>
      </w:pPr>
    </w:p>
    <w:p w:rsidR="008700C5" w:rsidRDefault="008700C5">
      <w:pPr>
        <w:spacing w:before="59" w:after="59" w:line="240" w:lineRule="exact"/>
        <w:rPr>
          <w:sz w:val="19"/>
          <w:szCs w:val="19"/>
        </w:rPr>
      </w:pPr>
    </w:p>
    <w:p w:rsidR="008700C5" w:rsidRDefault="008700C5">
      <w:pPr>
        <w:spacing w:line="1" w:lineRule="exact"/>
        <w:sectPr w:rsidR="008700C5">
          <w:type w:val="continuous"/>
          <w:pgSz w:w="11900" w:h="16840"/>
          <w:pgMar w:top="939" w:right="0" w:bottom="641" w:left="0" w:header="0" w:footer="3" w:gutter="0"/>
          <w:cols w:space="720"/>
          <w:noEndnote/>
          <w:docGrid w:linePitch="360"/>
        </w:sectPr>
      </w:pPr>
    </w:p>
    <w:p w:rsidR="008700C5" w:rsidRDefault="00BD05AC">
      <w:pPr>
        <w:pStyle w:val="Zkladntext1"/>
        <w:shd w:val="clear" w:color="auto" w:fill="auto"/>
        <w:spacing w:after="48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Příloha č. 1</w:t>
      </w:r>
    </w:p>
    <w:p w:rsidR="008700C5" w:rsidRDefault="00BD05AC">
      <w:pPr>
        <w:pStyle w:val="Nadpis20"/>
        <w:keepNext/>
        <w:keepLines/>
        <w:shd w:val="clear" w:color="auto" w:fill="auto"/>
        <w:spacing w:after="780"/>
        <w:ind w:right="320"/>
        <w:jc w:val="right"/>
      </w:pPr>
      <w:bookmarkStart w:id="13" w:name="bookmark12"/>
      <w:bookmarkStart w:id="14" w:name="bookmark13"/>
      <w:r>
        <w:t>Seznam sbírkových předmětů</w:t>
      </w:r>
      <w:bookmarkEnd w:id="13"/>
      <w:bookmarkEnd w:id="14"/>
    </w:p>
    <w:p w:rsidR="008700C5" w:rsidRDefault="00BD05AC">
      <w:pPr>
        <w:pStyle w:val="Zkladntext1"/>
        <w:shd w:val="clear" w:color="auto" w:fill="auto"/>
        <w:spacing w:after="78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Fond: Archiválie</w:t>
      </w:r>
    </w:p>
    <w:p w:rsidR="008700C5" w:rsidRDefault="00BD05AC">
      <w:pPr>
        <w:pStyle w:val="Nadpis20"/>
        <w:keepNext/>
        <w:keepLines/>
        <w:shd w:val="clear" w:color="auto" w:fill="auto"/>
        <w:spacing w:after="340"/>
        <w:jc w:val="left"/>
      </w:pPr>
      <w:bookmarkStart w:id="15" w:name="bookmark14"/>
      <w:bookmarkStart w:id="16" w:name="bookmark15"/>
      <w:r>
        <w:t>Sbírkové předměty:</w:t>
      </w:r>
      <w:bookmarkEnd w:id="15"/>
      <w:bookmarkEnd w:id="16"/>
    </w:p>
    <w:p w:rsidR="008700C5" w:rsidRDefault="008700C5">
      <w:pPr>
        <w:jc w:val="center"/>
        <w:rPr>
          <w:sz w:val="2"/>
          <w:szCs w:val="2"/>
        </w:rPr>
      </w:pPr>
    </w:p>
    <w:p w:rsidR="008700C5" w:rsidRDefault="008700C5">
      <w:pPr>
        <w:spacing w:line="1" w:lineRule="exact"/>
        <w:sectPr w:rsidR="008700C5">
          <w:headerReference w:type="default" r:id="rId14"/>
          <w:footerReference w:type="default" r:id="rId15"/>
          <w:pgSz w:w="11900" w:h="16840"/>
          <w:pgMar w:top="1386" w:right="3630" w:bottom="2133" w:left="1721" w:header="958" w:footer="3" w:gutter="0"/>
          <w:cols w:space="720"/>
          <w:noEndnote/>
          <w:docGrid w:linePitch="360"/>
        </w:sectPr>
      </w:pPr>
    </w:p>
    <w:p w:rsidR="008700C5" w:rsidRDefault="008700C5">
      <w:pPr>
        <w:spacing w:line="1" w:lineRule="exact"/>
      </w:pPr>
    </w:p>
    <w:sectPr w:rsidR="008700C5">
      <w:type w:val="continuous"/>
      <w:pgSz w:w="11900" w:h="16840"/>
      <w:pgMar w:top="1386" w:right="1254" w:bottom="699" w:left="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AC" w:rsidRDefault="00BD05AC">
      <w:r>
        <w:separator/>
      </w:r>
    </w:p>
  </w:endnote>
  <w:endnote w:type="continuationSeparator" w:id="0">
    <w:p w:rsidR="00BD05AC" w:rsidRDefault="00BD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C5" w:rsidRDefault="00BD05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3646170</wp:posOffset>
              </wp:positionH>
              <wp:positionV relativeFrom="page">
                <wp:posOffset>10297160</wp:posOffset>
              </wp:positionV>
              <wp:extent cx="598805" cy="800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00C5" w:rsidRDefault="00BD05A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1AE4" w:rsidRPr="00331AE4"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7.1pt;margin-top:810.8pt;width:47.15pt;height:6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" filled="f" stroked="f">
              <v:textbox style="mso-fit-shape-to-text:t" inset="0,0,0,0">
                <w:txbxContent>
                  <w:p w:rsidR="008700C5" w:rsidRDefault="00BD05A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1AE4" w:rsidRPr="00331AE4"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C5" w:rsidRDefault="00BD05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10141585</wp:posOffset>
              </wp:positionV>
              <wp:extent cx="60134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00C5" w:rsidRDefault="00BD05A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1AE4" w:rsidRPr="00331AE4"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85.85pt;margin-top:798.55pt;width:47.35pt;height:6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" filled="f" stroked="f">
              <v:textbox style="mso-fit-shape-to-text:t" inset="0,0,0,0">
                <w:txbxContent>
                  <w:p w:rsidR="008700C5" w:rsidRDefault="00BD05A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1AE4" w:rsidRPr="00331AE4"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C5" w:rsidRDefault="00BD05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10188575</wp:posOffset>
              </wp:positionV>
              <wp:extent cx="601345" cy="800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00C5" w:rsidRDefault="00BD05A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6C9" w:rsidRPr="00B666C9"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9" type="#_x0000_t202" style="position:absolute;margin-left:279.3pt;margin-top:802.25pt;width:47.35pt;height:6.3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" filled="f" stroked="f">
              <v:textbox style="mso-fit-shape-to-text:t" inset="0,0,0,0">
                <w:txbxContent>
                  <w:p w:rsidR="008700C5" w:rsidRDefault="00BD05A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66C9" w:rsidRPr="00B666C9"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AC" w:rsidRDefault="00BD05AC"/>
  </w:footnote>
  <w:footnote w:type="continuationSeparator" w:id="0">
    <w:p w:rsidR="00BD05AC" w:rsidRDefault="00BD05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C5" w:rsidRDefault="008700C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C5" w:rsidRDefault="00BD05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137160</wp:posOffset>
              </wp:positionH>
              <wp:positionV relativeFrom="page">
                <wp:posOffset>121920</wp:posOffset>
              </wp:positionV>
              <wp:extent cx="281305" cy="1574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305" cy="157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00C5" w:rsidRDefault="008700C5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0.8pt;margin-top:9.6pt;width:22.15pt;height:12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" filled="f" stroked="f">
              <v:textbox style="mso-fit-shape-to-text:t" inset="0,0,0,0">
                <w:txbxContent>
                  <w:p w:rsidR="008700C5" w:rsidRDefault="008700C5">
                    <w:pPr>
                      <w:pStyle w:val="Zhlavnebozpat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C5" w:rsidRDefault="008700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ADA"/>
    <w:multiLevelType w:val="hybridMultilevel"/>
    <w:tmpl w:val="93A47682"/>
    <w:lvl w:ilvl="0" w:tplc="04050011">
      <w:start w:val="1"/>
      <w:numFmt w:val="decimal"/>
      <w:lvlText w:val="%1)"/>
      <w:lvlJc w:val="left"/>
      <w:pPr>
        <w:ind w:left="2300" w:hanging="360"/>
      </w:pPr>
    </w:lvl>
    <w:lvl w:ilvl="1" w:tplc="04050019" w:tentative="1">
      <w:start w:val="1"/>
      <w:numFmt w:val="lowerLetter"/>
      <w:lvlText w:val="%2."/>
      <w:lvlJc w:val="left"/>
      <w:pPr>
        <w:ind w:left="3020" w:hanging="360"/>
      </w:pPr>
    </w:lvl>
    <w:lvl w:ilvl="2" w:tplc="0405001B" w:tentative="1">
      <w:start w:val="1"/>
      <w:numFmt w:val="lowerRoman"/>
      <w:lvlText w:val="%3."/>
      <w:lvlJc w:val="right"/>
      <w:pPr>
        <w:ind w:left="3740" w:hanging="180"/>
      </w:pPr>
    </w:lvl>
    <w:lvl w:ilvl="3" w:tplc="0405000F" w:tentative="1">
      <w:start w:val="1"/>
      <w:numFmt w:val="decimal"/>
      <w:lvlText w:val="%4."/>
      <w:lvlJc w:val="left"/>
      <w:pPr>
        <w:ind w:left="4460" w:hanging="360"/>
      </w:pPr>
    </w:lvl>
    <w:lvl w:ilvl="4" w:tplc="04050019" w:tentative="1">
      <w:start w:val="1"/>
      <w:numFmt w:val="lowerLetter"/>
      <w:lvlText w:val="%5."/>
      <w:lvlJc w:val="left"/>
      <w:pPr>
        <w:ind w:left="5180" w:hanging="360"/>
      </w:pPr>
    </w:lvl>
    <w:lvl w:ilvl="5" w:tplc="0405001B" w:tentative="1">
      <w:start w:val="1"/>
      <w:numFmt w:val="lowerRoman"/>
      <w:lvlText w:val="%6."/>
      <w:lvlJc w:val="right"/>
      <w:pPr>
        <w:ind w:left="5900" w:hanging="180"/>
      </w:pPr>
    </w:lvl>
    <w:lvl w:ilvl="6" w:tplc="0405000F" w:tentative="1">
      <w:start w:val="1"/>
      <w:numFmt w:val="decimal"/>
      <w:lvlText w:val="%7."/>
      <w:lvlJc w:val="left"/>
      <w:pPr>
        <w:ind w:left="6620" w:hanging="360"/>
      </w:pPr>
    </w:lvl>
    <w:lvl w:ilvl="7" w:tplc="04050019" w:tentative="1">
      <w:start w:val="1"/>
      <w:numFmt w:val="lowerLetter"/>
      <w:lvlText w:val="%8."/>
      <w:lvlJc w:val="left"/>
      <w:pPr>
        <w:ind w:left="7340" w:hanging="360"/>
      </w:pPr>
    </w:lvl>
    <w:lvl w:ilvl="8" w:tplc="0405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" w15:restartNumberingAfterBreak="0">
    <w:nsid w:val="16171B64"/>
    <w:multiLevelType w:val="multilevel"/>
    <w:tmpl w:val="1BAAD08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D48C3"/>
    <w:multiLevelType w:val="multilevel"/>
    <w:tmpl w:val="27180E2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822CE"/>
    <w:multiLevelType w:val="multilevel"/>
    <w:tmpl w:val="DCD8EAA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062BAB"/>
    <w:multiLevelType w:val="multilevel"/>
    <w:tmpl w:val="0EF4EFC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3208F"/>
    <w:multiLevelType w:val="multilevel"/>
    <w:tmpl w:val="9DA2F1D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80715"/>
    <w:multiLevelType w:val="multilevel"/>
    <w:tmpl w:val="DC787ED0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5D75CE"/>
    <w:multiLevelType w:val="multilevel"/>
    <w:tmpl w:val="66AE843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C5"/>
    <w:rsid w:val="00331AE4"/>
    <w:rsid w:val="008700C5"/>
    <w:rsid w:val="00B666C9"/>
    <w:rsid w:val="00B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C4184"/>
  <w15:docId w15:val="{40FCDABE-E639-43CD-BFDC-EA352CBC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02781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  <w:jc w:val="right"/>
    </w:pPr>
    <w:rPr>
      <w:rFonts w:ascii="Arial" w:eastAsia="Arial" w:hAnsi="Arial" w:cs="Arial"/>
      <w:color w:val="102781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35" w:lineRule="auto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jc w:val="center"/>
    </w:pPr>
    <w:rPr>
      <w:rFonts w:ascii="Arial" w:eastAsia="Arial" w:hAnsi="Arial" w:cs="Arial"/>
      <w:b/>
      <w:bCs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B66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6C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66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6C9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66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arova.kornelia@npu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na.jakubska@nzm.cz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zm.cz/sbirka/cenik-sluzeb-a-reprodukcnich-poplatk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946</Words>
  <Characters>5586</Characters>
  <Application>Microsoft Office Word</Application>
  <DocSecurity>0</DocSecurity>
  <Lines>46</Lines>
  <Paragraphs>13</Paragraphs>
  <ScaleCrop>false</ScaleCrop>
  <Company>HP Inc.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Janouchová Miroslava</cp:lastModifiedBy>
  <cp:revision>3</cp:revision>
  <dcterms:created xsi:type="dcterms:W3CDTF">2022-12-13T12:25:00Z</dcterms:created>
  <dcterms:modified xsi:type="dcterms:W3CDTF">2022-12-13T12:36:00Z</dcterms:modified>
</cp:coreProperties>
</file>