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79DD1EAD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01</w:t>
      </w:r>
      <w:r w:rsidR="00076C6F">
        <w:rPr>
          <w:b/>
          <w:bCs/>
          <w:color w:val="000000"/>
          <w:sz w:val="28"/>
          <w:szCs w:val="28"/>
        </w:rPr>
        <w:t>6</w:t>
      </w:r>
      <w:r w:rsidR="003015A5">
        <w:rPr>
          <w:b/>
          <w:bCs/>
          <w:color w:val="000000"/>
          <w:sz w:val="28"/>
          <w:szCs w:val="28"/>
        </w:rPr>
        <w:t>/22/K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61A11034" w:rsidR="00E05599" w:rsidRDefault="00F71F0D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Nájemce:</w:t>
      </w:r>
      <w:r w:rsidR="00055C8D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Střední škola diplomacie a veřejné správy s.r.o.</w:t>
      </w:r>
    </w:p>
    <w:p w14:paraId="3F088AF2" w14:textId="30711BA9" w:rsidR="00AB751B" w:rsidRPr="00035FF3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Adresa: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</w:t>
      </w:r>
      <w:r w:rsidR="00035FF3">
        <w:rPr>
          <w:rFonts w:ascii="Times New Roman" w:hAnsi="Times New Roman"/>
          <w:bCs/>
          <w:szCs w:val="24"/>
        </w:rPr>
        <w:t>Aloise Jiráska 1887, 434 01 Most</w:t>
      </w:r>
    </w:p>
    <w:p w14:paraId="45C73EA1" w14:textId="72AAFFD5" w:rsidR="00AB751B" w:rsidRPr="00035FF3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Zastoupen: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</w:r>
      <w:r w:rsidR="00035FF3" w:rsidRPr="00035FF3">
        <w:rPr>
          <w:rFonts w:ascii="Times New Roman" w:hAnsi="Times New Roman"/>
          <w:bCs/>
          <w:szCs w:val="24"/>
        </w:rPr>
        <w:t xml:space="preserve">     Ing. Vladimírou </w:t>
      </w:r>
      <w:proofErr w:type="spellStart"/>
      <w:r w:rsidR="00035FF3" w:rsidRPr="00035FF3">
        <w:rPr>
          <w:rFonts w:ascii="Times New Roman" w:hAnsi="Times New Roman"/>
          <w:bCs/>
          <w:szCs w:val="24"/>
        </w:rPr>
        <w:t>Ilievovou</w:t>
      </w:r>
      <w:proofErr w:type="spellEnd"/>
    </w:p>
    <w:p w14:paraId="07BA82BB" w14:textId="68021D86" w:rsidR="00055C8D" w:rsidRPr="0075667E" w:rsidRDefault="00055C8D" w:rsidP="008C37FA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IČ</w:t>
      </w:r>
      <w:r w:rsidR="00AB751B">
        <w:rPr>
          <w:rFonts w:ascii="Times New Roman" w:hAnsi="Times New Roman"/>
          <w:b/>
          <w:szCs w:val="24"/>
        </w:rPr>
        <w:t>:</w:t>
      </w:r>
      <w:r w:rsidR="003015A5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</w:t>
      </w:r>
      <w:r w:rsidR="00035FF3" w:rsidRPr="00035FF3">
        <w:rPr>
          <w:rFonts w:ascii="Times New Roman" w:hAnsi="Times New Roman"/>
          <w:bCs/>
          <w:szCs w:val="24"/>
        </w:rPr>
        <w:t>25045911</w:t>
      </w:r>
    </w:p>
    <w:p w14:paraId="1935E40D" w14:textId="58CC7231" w:rsidR="00E05599" w:rsidRPr="00035FF3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="00055C8D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</w:t>
      </w:r>
      <w:r w:rsidR="00035FF3">
        <w:rPr>
          <w:rFonts w:ascii="Times New Roman" w:hAnsi="Times New Roman"/>
          <w:bCs/>
          <w:szCs w:val="24"/>
        </w:rPr>
        <w:t>CZ25045911</w:t>
      </w:r>
    </w:p>
    <w:p w14:paraId="437A8F54" w14:textId="5540C09C" w:rsidR="00907263" w:rsidRPr="00035FF3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>Kontaktní osoba</w:t>
      </w:r>
      <w:r w:rsidR="00907263" w:rsidRPr="00D870D8">
        <w:rPr>
          <w:rFonts w:ascii="Times New Roman" w:hAnsi="Times New Roman"/>
          <w:b/>
          <w:szCs w:val="24"/>
        </w:rPr>
        <w:t>:</w:t>
      </w:r>
      <w:r w:rsidR="00076C6F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 xml:space="preserve">          </w:t>
      </w:r>
      <w:r w:rsidR="00657DFC">
        <w:rPr>
          <w:rFonts w:ascii="Times New Roman" w:hAnsi="Times New Roman"/>
          <w:bCs/>
          <w:szCs w:val="24"/>
        </w:rPr>
        <w:t>xxx</w:t>
      </w:r>
      <w:r w:rsidR="00076C6F">
        <w:rPr>
          <w:rFonts w:ascii="Times New Roman" w:hAnsi="Times New Roman"/>
          <w:b/>
          <w:szCs w:val="24"/>
        </w:rPr>
        <w:t xml:space="preserve">                               </w:t>
      </w:r>
      <w:r w:rsidR="003015A5">
        <w:rPr>
          <w:rFonts w:ascii="Times New Roman" w:hAnsi="Times New Roman"/>
          <w:b/>
          <w:szCs w:val="24"/>
        </w:rPr>
        <w:t xml:space="preserve"> tel.: </w:t>
      </w:r>
      <w:proofErr w:type="spellStart"/>
      <w:r w:rsidR="00657DFC">
        <w:rPr>
          <w:rFonts w:ascii="Times New Roman" w:hAnsi="Times New Roman"/>
          <w:bCs/>
          <w:szCs w:val="24"/>
        </w:rPr>
        <w:t>xxx</w:t>
      </w:r>
      <w:proofErr w:type="spellEnd"/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1D824D36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</w:t>
      </w:r>
    </w:p>
    <w:p w14:paraId="78B5BC7E" w14:textId="2B86D357" w:rsidR="0079180C" w:rsidRPr="0079180C" w:rsidRDefault="0079180C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č.1.,</w:t>
      </w:r>
    </w:p>
    <w:p w14:paraId="6EF3E7EB" w14:textId="77777777" w:rsidR="0079180C" w:rsidRDefault="0079180C" w:rsidP="0079180C">
      <w:pPr>
        <w:autoSpaceDE w:val="0"/>
        <w:autoSpaceDN w:val="0"/>
        <w:adjustRightInd w:val="0"/>
        <w:spacing w:after="120"/>
        <w:ind w:left="720"/>
        <w:rPr>
          <w:color w:val="000000"/>
        </w:rPr>
      </w:pPr>
      <w:r>
        <w:rPr>
          <w:color w:val="000000"/>
        </w:rPr>
        <w:t xml:space="preserve">včetně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dodaného Citadelou.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od jiného </w:t>
      </w:r>
    </w:p>
    <w:p w14:paraId="286B8F0B" w14:textId="6E668B1E" w:rsidR="0079180C" w:rsidRPr="00357056" w:rsidRDefault="0079180C" w:rsidP="0079180C">
      <w:pPr>
        <w:autoSpaceDE w:val="0"/>
        <w:autoSpaceDN w:val="0"/>
        <w:adjustRightInd w:val="0"/>
        <w:spacing w:after="120"/>
        <w:ind w:left="720"/>
      </w:pPr>
      <w:r>
        <w:rPr>
          <w:color w:val="000000"/>
        </w:rPr>
        <w:t xml:space="preserve">dodavatele v Citadele </w:t>
      </w:r>
      <w:r w:rsidRPr="00BE7E84">
        <w:rPr>
          <w:b/>
          <w:bCs/>
          <w:color w:val="000000"/>
        </w:rPr>
        <w:t>není možné</w:t>
      </w:r>
      <w:r>
        <w:rPr>
          <w:color w:val="000000"/>
        </w:rPr>
        <w:t>.</w:t>
      </w:r>
    </w:p>
    <w:p w14:paraId="46619F80" w14:textId="77777777" w:rsidR="00357056" w:rsidRPr="00357056" w:rsidRDefault="00357056" w:rsidP="00357056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0E71337E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076C6F">
        <w:rPr>
          <w:rFonts w:ascii="Times New Roman" w:hAnsi="Times New Roman" w:cs="Times New Roman"/>
          <w:szCs w:val="24"/>
        </w:rPr>
        <w:t>6</w:t>
      </w:r>
      <w:r w:rsidR="0079180C">
        <w:rPr>
          <w:rFonts w:ascii="Times New Roman" w:hAnsi="Times New Roman" w:cs="Times New Roman"/>
          <w:szCs w:val="24"/>
        </w:rPr>
        <w:t>. ledna 2023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19.00 do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02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.00 hodin.</w:t>
      </w:r>
    </w:p>
    <w:p w14:paraId="65230400" w14:textId="77777777" w:rsidR="00035FF3" w:rsidRPr="00035FF3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035FF3">
        <w:rPr>
          <w:rFonts w:ascii="Times New Roman" w:hAnsi="Times New Roman" w:cs="Times New Roman"/>
          <w:szCs w:val="24"/>
        </w:rPr>
        <w:t>Typ akce:</w:t>
      </w:r>
      <w:r w:rsidR="00B45FD0" w:rsidRPr="00035FF3">
        <w:rPr>
          <w:rFonts w:ascii="Times New Roman" w:hAnsi="Times New Roman" w:cs="Times New Roman"/>
          <w:szCs w:val="24"/>
        </w:rPr>
        <w:t xml:space="preserve"> </w:t>
      </w:r>
      <w:r w:rsidR="00055C8D" w:rsidRPr="00035FF3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035FF3">
        <w:rPr>
          <w:rFonts w:ascii="Times New Roman" w:hAnsi="Times New Roman" w:cs="Times New Roman"/>
          <w:color w:val="auto"/>
          <w:szCs w:val="24"/>
        </w:rPr>
        <w:t xml:space="preserve"> </w:t>
      </w:r>
      <w:r w:rsidR="00035FF3" w:rsidRPr="00035FF3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D5464C" w:rsidRPr="00035F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5FF3" w:rsidRPr="00035FF3">
        <w:rPr>
          <w:rFonts w:ascii="Times New Roman" w:hAnsi="Times New Roman" w:cs="Times New Roman"/>
          <w:color w:val="auto"/>
          <w:sz w:val="22"/>
          <w:szCs w:val="22"/>
        </w:rPr>
        <w:t xml:space="preserve">Střední </w:t>
      </w:r>
      <w:r w:rsidR="00D5464C" w:rsidRPr="00035FF3">
        <w:rPr>
          <w:rFonts w:ascii="Times New Roman" w:hAnsi="Times New Roman" w:cs="Times New Roman"/>
          <w:color w:val="auto"/>
          <w:sz w:val="22"/>
          <w:szCs w:val="22"/>
        </w:rPr>
        <w:t xml:space="preserve">škola </w:t>
      </w:r>
      <w:r w:rsidR="00035FF3" w:rsidRPr="00035FF3">
        <w:rPr>
          <w:rFonts w:ascii="Times New Roman" w:hAnsi="Times New Roman" w:cs="Times New Roman"/>
          <w:color w:val="auto"/>
          <w:sz w:val="22"/>
          <w:szCs w:val="22"/>
        </w:rPr>
        <w:t>diplomacie a veřejné správy</w:t>
      </w:r>
      <w:r w:rsidR="00035FF3" w:rsidRPr="00035FF3">
        <w:rPr>
          <w:rFonts w:ascii="Times New Roman" w:hAnsi="Times New Roman" w:cs="Times New Roman"/>
          <w:color w:val="auto"/>
          <w:szCs w:val="24"/>
        </w:rPr>
        <w:t>, t</w:t>
      </w:r>
      <w:r w:rsidR="00076C6F" w:rsidRPr="00035FF3">
        <w:rPr>
          <w:rFonts w:ascii="Times New Roman" w:hAnsi="Times New Roman" w:cs="Times New Roman"/>
          <w:color w:val="auto"/>
          <w:szCs w:val="24"/>
        </w:rPr>
        <w:t>řída</w:t>
      </w:r>
      <w:r w:rsidR="00035FF3">
        <w:rPr>
          <w:rFonts w:ascii="Times New Roman" w:hAnsi="Times New Roman" w:cs="Times New Roman"/>
          <w:color w:val="auto"/>
          <w:szCs w:val="24"/>
        </w:rPr>
        <w:t xml:space="preserve"> 4.C</w:t>
      </w:r>
    </w:p>
    <w:p w14:paraId="464B9E66" w14:textId="1BF3702C" w:rsidR="00907263" w:rsidRPr="00035FF3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035FF3">
        <w:rPr>
          <w:rFonts w:ascii="Times New Roman" w:hAnsi="Times New Roman" w:cs="Times New Roman"/>
          <w:szCs w:val="24"/>
        </w:rPr>
        <w:t xml:space="preserve">Přístup do </w:t>
      </w:r>
      <w:r w:rsidR="00907263" w:rsidRPr="00035FF3">
        <w:rPr>
          <w:rFonts w:ascii="Times New Roman" w:hAnsi="Times New Roman" w:cs="Times New Roman"/>
          <w:szCs w:val="24"/>
        </w:rPr>
        <w:t xml:space="preserve">sálu, ukončení </w:t>
      </w:r>
      <w:r w:rsidRPr="00035FF3">
        <w:rPr>
          <w:rFonts w:ascii="Times New Roman" w:hAnsi="Times New Roman" w:cs="Times New Roman"/>
          <w:szCs w:val="24"/>
        </w:rPr>
        <w:t>akce</w:t>
      </w:r>
      <w:r w:rsidR="00A7350A" w:rsidRPr="00035FF3">
        <w:rPr>
          <w:rFonts w:ascii="Times New Roman" w:hAnsi="Times New Roman" w:cs="Times New Roman"/>
          <w:szCs w:val="24"/>
        </w:rPr>
        <w:t xml:space="preserve"> a</w:t>
      </w:r>
      <w:r w:rsidRPr="00035FF3">
        <w:rPr>
          <w:rFonts w:ascii="Times New Roman" w:hAnsi="Times New Roman" w:cs="Times New Roman"/>
          <w:szCs w:val="24"/>
        </w:rPr>
        <w:t xml:space="preserve"> vyklizení sálu </w:t>
      </w:r>
      <w:r w:rsidR="00A7350A" w:rsidRPr="00035FF3">
        <w:rPr>
          <w:rFonts w:ascii="Times New Roman" w:hAnsi="Times New Roman" w:cs="Times New Roman"/>
          <w:szCs w:val="24"/>
        </w:rPr>
        <w:t xml:space="preserve">je dohodnut </w:t>
      </w:r>
      <w:r w:rsidR="00C74179" w:rsidRPr="00035FF3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035FF3">
        <w:rPr>
          <w:rFonts w:ascii="Times New Roman" w:hAnsi="Times New Roman" w:cs="Times New Roman"/>
          <w:szCs w:val="24"/>
        </w:rPr>
        <w:t>-</w:t>
      </w:r>
      <w:r w:rsidR="00D027B3" w:rsidRPr="00035FF3">
        <w:rPr>
          <w:rFonts w:ascii="Times New Roman" w:hAnsi="Times New Roman" w:cs="Times New Roman"/>
          <w:szCs w:val="24"/>
        </w:rPr>
        <w:t xml:space="preserve"> Souhrn po</w:t>
      </w:r>
      <w:r w:rsidR="00A7350A" w:rsidRPr="00035FF3">
        <w:rPr>
          <w:rFonts w:ascii="Times New Roman" w:hAnsi="Times New Roman" w:cs="Times New Roman"/>
          <w:szCs w:val="24"/>
        </w:rPr>
        <w:t>žadavk</w:t>
      </w:r>
      <w:r w:rsidR="00D027B3" w:rsidRPr="00035FF3">
        <w:rPr>
          <w:rFonts w:ascii="Times New Roman" w:hAnsi="Times New Roman" w:cs="Times New Roman"/>
          <w:szCs w:val="24"/>
        </w:rPr>
        <w:t>ů</w:t>
      </w:r>
      <w:r w:rsidR="00A7350A" w:rsidRPr="00035FF3">
        <w:rPr>
          <w:rFonts w:ascii="Times New Roman" w:hAnsi="Times New Roman" w:cs="Times New Roman"/>
          <w:szCs w:val="24"/>
        </w:rPr>
        <w:t xml:space="preserve"> nájemce, kter</w:t>
      </w:r>
      <w:r w:rsidR="00C74179" w:rsidRPr="00035FF3">
        <w:rPr>
          <w:rFonts w:ascii="Times New Roman" w:hAnsi="Times New Roman" w:cs="Times New Roman"/>
          <w:szCs w:val="24"/>
        </w:rPr>
        <w:t>á</w:t>
      </w:r>
      <w:r w:rsidR="00666747" w:rsidRPr="00035FF3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035FF3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07EE9113" w14:textId="77777777" w:rsidR="00E05599" w:rsidRPr="00D870D8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b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77777777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   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A30DF0C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odstoupí nejpozději 2 měsíce před konáním akce, je záloha vrácena v plné výši.</w:t>
      </w:r>
    </w:p>
    <w:p w14:paraId="061BFE27" w14:textId="77777777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>mlouvy odstoupí v době kratší než 2 měsíce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77777777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13701DAB" w14:textId="77777777" w:rsidR="003C0465" w:rsidRPr="003C0465" w:rsidRDefault="003C0465" w:rsidP="003C0465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szCs w:val="24"/>
        </w:rPr>
      </w:pP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57424B">
      <w:pPr>
        <w:numPr>
          <w:ilvl w:val="0"/>
          <w:numId w:val="17"/>
        </w:numPr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506" w14:textId="77777777" w:rsidR="00946DF4" w:rsidRDefault="00946DF4">
      <w:r>
        <w:separator/>
      </w:r>
    </w:p>
  </w:endnote>
  <w:endnote w:type="continuationSeparator" w:id="0">
    <w:p w14:paraId="59612C7E" w14:textId="77777777" w:rsidR="00946DF4" w:rsidRDefault="009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AEF" w14:textId="77777777" w:rsidR="00946DF4" w:rsidRDefault="00946DF4">
      <w:r>
        <w:separator/>
      </w:r>
    </w:p>
  </w:footnote>
  <w:footnote w:type="continuationSeparator" w:id="0">
    <w:p w14:paraId="4BCB1565" w14:textId="77777777" w:rsidR="00946DF4" w:rsidRDefault="0094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2"/>
  </w:num>
  <w:num w:numId="2" w16cid:durableId="94634756">
    <w:abstractNumId w:val="16"/>
  </w:num>
  <w:num w:numId="3" w16cid:durableId="1211771504">
    <w:abstractNumId w:val="0"/>
  </w:num>
  <w:num w:numId="4" w16cid:durableId="157236050">
    <w:abstractNumId w:val="6"/>
  </w:num>
  <w:num w:numId="5" w16cid:durableId="1870488842">
    <w:abstractNumId w:val="4"/>
  </w:num>
  <w:num w:numId="6" w16cid:durableId="1571234990">
    <w:abstractNumId w:val="14"/>
  </w:num>
  <w:num w:numId="7" w16cid:durableId="1652325463">
    <w:abstractNumId w:val="9"/>
  </w:num>
  <w:num w:numId="8" w16cid:durableId="265692753">
    <w:abstractNumId w:val="5"/>
  </w:num>
  <w:num w:numId="9" w16cid:durableId="1266690164">
    <w:abstractNumId w:val="10"/>
  </w:num>
  <w:num w:numId="10" w16cid:durableId="963466300">
    <w:abstractNumId w:val="1"/>
  </w:num>
  <w:num w:numId="11" w16cid:durableId="606154459">
    <w:abstractNumId w:val="13"/>
  </w:num>
  <w:num w:numId="12" w16cid:durableId="2032297591">
    <w:abstractNumId w:val="15"/>
  </w:num>
  <w:num w:numId="13" w16cid:durableId="1510755290">
    <w:abstractNumId w:val="2"/>
  </w:num>
  <w:num w:numId="14" w16cid:durableId="962543437">
    <w:abstractNumId w:val="11"/>
  </w:num>
  <w:num w:numId="15" w16cid:durableId="519003441">
    <w:abstractNumId w:val="7"/>
  </w:num>
  <w:num w:numId="16" w16cid:durableId="426656581">
    <w:abstractNumId w:val="8"/>
  </w:num>
  <w:num w:numId="17" w16cid:durableId="121661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35FF3"/>
    <w:rsid w:val="00055C8D"/>
    <w:rsid w:val="00076C6F"/>
    <w:rsid w:val="00077F4F"/>
    <w:rsid w:val="00143E8B"/>
    <w:rsid w:val="00146830"/>
    <w:rsid w:val="001710BE"/>
    <w:rsid w:val="001F425E"/>
    <w:rsid w:val="002D6BA8"/>
    <w:rsid w:val="003015A5"/>
    <w:rsid w:val="00357056"/>
    <w:rsid w:val="00363266"/>
    <w:rsid w:val="003C0465"/>
    <w:rsid w:val="003D1371"/>
    <w:rsid w:val="00431D85"/>
    <w:rsid w:val="004419C5"/>
    <w:rsid w:val="00452F25"/>
    <w:rsid w:val="004C2625"/>
    <w:rsid w:val="00534CE0"/>
    <w:rsid w:val="0054491F"/>
    <w:rsid w:val="0057424B"/>
    <w:rsid w:val="005B17C9"/>
    <w:rsid w:val="00657DFC"/>
    <w:rsid w:val="00666747"/>
    <w:rsid w:val="0068259B"/>
    <w:rsid w:val="006A1CDD"/>
    <w:rsid w:val="006B56CC"/>
    <w:rsid w:val="0075667E"/>
    <w:rsid w:val="0079180C"/>
    <w:rsid w:val="007C38ED"/>
    <w:rsid w:val="007D0879"/>
    <w:rsid w:val="007F1304"/>
    <w:rsid w:val="00822382"/>
    <w:rsid w:val="008848B1"/>
    <w:rsid w:val="008C37FA"/>
    <w:rsid w:val="008E2FD7"/>
    <w:rsid w:val="00907263"/>
    <w:rsid w:val="00946DF4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2022-12-12T13:47:00Z</dcterms:created>
  <dcterms:modified xsi:type="dcterms:W3CDTF">2022-12-12T13:47:00Z</dcterms:modified>
</cp:coreProperties>
</file>