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204956054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SMLOUVA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 SDRUŽENÝCH SLUŽBÁCH DODÁVKY PLYNU </w:t>
      </w:r>
      <w:r w:rsidDel="00000000" w:rsidR="00000000" w:rsidRPr="00000000">
        <w:drawing>
          <wp:anchor allowOverlap="1" behindDoc="0" distB="19050" distT="19050" distL="19050" distR="19050" hidden="0" layoutInCell="1" locked="0" relativeHeight="0" simplePos="0">
            <wp:simplePos x="0" y="0"/>
            <wp:positionH relativeFrom="column">
              <wp:posOffset>5268782</wp:posOffset>
            </wp:positionH>
            <wp:positionV relativeFrom="paragraph">
              <wp:posOffset>100330</wp:posOffset>
            </wp:positionV>
            <wp:extent cx="755650" cy="1101090"/>
            <wp:effectExtent b="0" l="0" r="0" t="0"/>
            <wp:wrapSquare wrapText="left" distB="19050" distT="19050" distL="19050" distR="1905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55650" cy="110109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771484375" w:line="240" w:lineRule="auto"/>
        <w:ind w:left="5.1551818847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č. ZP22/18/149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5390625" w:line="240" w:lineRule="auto"/>
        <w:ind w:left="9.12719726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(dále jen „Smlouva“ – strana 1/2)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10.387191772460938"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uzavřená mezi následujícími Smluvními stranami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(„Strany“):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396484375" w:line="240" w:lineRule="auto"/>
        <w:ind w:left="144.547195434570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Kód prodejce </w:t>
      </w:r>
      <w:r w:rsidDel="00000000" w:rsidR="00000000" w:rsidRPr="00000000">
        <w:rPr>
          <w:rFonts w:ascii="Calibri" w:cs="Calibri" w:eastAsia="Calibri" w:hAnsi="Calibri"/>
          <w:b w:val="0"/>
          <w:i w:val="0"/>
          <w:smallCaps w:val="0"/>
          <w:strike w:val="0"/>
          <w:color w:val="000000"/>
          <w:sz w:val="16.079999923706055"/>
          <w:szCs w:val="16.079999923706055"/>
          <w:u w:val="none"/>
          <w:shd w:fill="e7e6e6" w:val="clear"/>
          <w:vertAlign w:val="baseline"/>
          <w:rtl w:val="0"/>
        </w:rPr>
        <w:t xml:space="preserve">(vyplňuje innogy):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R E T 1 1 0 1 1 9 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739013671875" w:line="240" w:lineRule="auto"/>
        <w:ind w:left="98.79600524902344"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OBCHODNÍK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(ve Smlouvě jako „innogy“)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734130859375" w:line="245.2360725402832" w:lineRule="auto"/>
        <w:ind w:left="142.9271697998047" w:right="334.80224609375" w:hanging="1.8000030517578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innogy Energie, s.r.o., Limuzská 3135/12, 108 00 Praha 10, IČ: 49903209, DIČ: CZ49903209, zápis v OR: MěS v Praze, sp. zn.: C 220583,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licence pro obchod s plynem č. 240404240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412353515625" w:line="386.5112113952637" w:lineRule="auto"/>
        <w:ind w:left="141.84715270996094" w:right="1564.0618896484375" w:hanging="11.339950561523438"/>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e7e6e6" w:val="clear"/>
          <w:vertAlign w:val="baseline"/>
          <w:rtl w:val="0"/>
        </w:rPr>
        <w:t xml:space="preserve">Telefon: 800 100 144 </w:t>
      </w: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Bankovní účet č.: 66443322/0100, 0300, 0800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e7e6e6" w:val="clear"/>
          <w:vertAlign w:val="baseline"/>
          <w:rtl w:val="0"/>
        </w:rPr>
        <w:t xml:space="preserve">E-mail: prodej@innogy.cz</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568359375" w:line="240" w:lineRule="auto"/>
        <w:ind w:left="96.0072326660156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ZÁKAZNÍK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(dle OR)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3837890625" w:line="240" w:lineRule="auto"/>
        <w:ind w:left="144.547195434570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Firma: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Městská knihovna Ústí nad Orlicí</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39501953125" w:line="240" w:lineRule="auto"/>
        <w:ind w:left="144.547195434570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IČ: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68212691 </w:t>
      </w: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DIČ: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CZ</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39697265625" w:line="240" w:lineRule="auto"/>
        <w:ind w:left="132.487182617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Adresa: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Příkopy 376, Ústí nad Orlicí, 562 01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4140625" w:line="343.86197090148926" w:lineRule="auto"/>
        <w:ind w:left="134.647216796875" w:right="381.903076171875" w:firstLine="9.899978637695312"/>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Bankovní účet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000000-0014435611/0100 </w:t>
      </w: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Zapsán v OR u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Krajský soud v Hradci Králové, oddíl Pr, vložka 957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Zastoupen: </w:t>
      </w:r>
      <w:r w:rsidDel="00000000" w:rsidR="00000000" w:rsidRPr="00000000">
        <w:rPr>
          <w:rFonts w:ascii="Calibri" w:cs="Calibri" w:eastAsia="Calibri" w:hAnsi="Calibri"/>
          <w:b w:val="0"/>
          <w:i w:val="0"/>
          <w:smallCaps w:val="0"/>
          <w:strike w:val="0"/>
          <w:color w:val="000000"/>
          <w:sz w:val="30"/>
          <w:szCs w:val="30"/>
          <w:u w:val="none"/>
          <w:shd w:fill="auto" w:val="clear"/>
          <w:vertAlign w:val="subscript"/>
          <w:rtl w:val="0"/>
        </w:rPr>
        <w:t xml:space="preserve">PhDr. Jana Kalousková, ředitelka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statutární orgán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plná moc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ze zákona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2430419921875" w:line="333.95705223083496" w:lineRule="auto"/>
        <w:ind w:left="149.34722900390625" w:right="2369.3426513671875" w:hanging="56.12884521484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ADRESA PRO DORUČOVÁNÍ KORESPONDENCE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 stejná jako adresa zákazníka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 jiná </w:t>
      </w: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Firma: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775390625" w:line="240" w:lineRule="auto"/>
        <w:ind w:left="137.2872161865234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Adresa: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knihovna@knihovna-uo.cz</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104.772033691406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POVĚŘENÁ OSOBA PRO JEDNÁNÍ VE VĚCECH SMLUVNÍCH A TECHNICKÝCH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32275390625" w:line="240" w:lineRule="auto"/>
        <w:ind w:left="134.7672271728515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Jméno a příjmení: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PhDr. Jana Kalousková</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408203125" w:line="240" w:lineRule="auto"/>
        <w:ind w:left="149.3472290039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Funkce: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ředitelka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39501953125" w:line="240" w:lineRule="auto"/>
        <w:ind w:left="135.4872131347656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Telefon: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737 205 224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402099609375" w:line="240" w:lineRule="auto"/>
        <w:ind w:left="149.3472290039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E-mail: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knihovna@knihovna-uo.cz</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40673828125" w:line="240" w:lineRule="auto"/>
        <w:ind w:left="104.772033691406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PLATEBNÍ PODMÍNKY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33740234375" w:line="240" w:lineRule="auto"/>
        <w:ind w:left="139.4472503662109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Zálohy: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příkaz k úhradě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přímé inkaso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stejný BÚ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jiný BÚ</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39306640625" w:line="326.1855411529541" w:lineRule="auto"/>
        <w:ind w:left="149.34722900390625" w:right="285.902099609375" w:firstLine="1162.7799987792969"/>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periodicita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měsíční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čtvrtletní </w:t>
      </w: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souhrnná záloha za všechna OM: Kč</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Faktury:</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37939453125" w:line="240" w:lineRule="auto"/>
        <w:ind w:left="149.3472290039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Přeplatek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převod na účet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stejný BÚ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jiný BÚ</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408203125" w:line="240" w:lineRule="auto"/>
        <w:ind w:left="149.3472290039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Nedoplatek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příkaz k úhradě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přímé inkaso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stejný BÚ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jiný BÚ</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7393798828125" w:line="240" w:lineRule="auto"/>
        <w:ind w:left="97.202453613281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SMLUVNÍ A TECHNICKÉ PODMÍNKY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33447265625" w:line="242.56957054138184" w:lineRule="auto"/>
        <w:ind w:left="141.42723083496094" w:right="873.67919921875" w:hanging="0.9000396728515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Seznam odběrných míst včetně jejich identifikace (EIC, adresa), technická specifikace, předpokládaného TZD a plánované roční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spotřeby je uveden v Příloze č. 1 této Smlouvy</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61273193359375" w:line="240" w:lineRule="auto"/>
        <w:ind w:left="142.6872253417968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Celková plánovaná spotřeba: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100 </w:t>
      </w: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MWh/rok</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401123046875" w:line="240" w:lineRule="auto"/>
        <w:ind w:left="146.64718627929688"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e7e6e6" w:val="clear"/>
          <w:vertAlign w:val="baseline"/>
          <w:rtl w:val="0"/>
        </w:rPr>
        <w:t xml:space="preserve">Produktová řada: </w:t>
      </w:r>
      <w:r w:rsidDel="00000000" w:rsidR="00000000" w:rsidRPr="00000000">
        <w:rPr>
          <w:rFonts w:ascii="Calibri" w:cs="Calibri" w:eastAsia="Calibri" w:hAnsi="Calibri"/>
          <w:b w:val="1"/>
          <w:i w:val="0"/>
          <w:smallCaps w:val="0"/>
          <w:strike w:val="0"/>
          <w:color w:val="000000"/>
          <w:sz w:val="18"/>
          <w:szCs w:val="18"/>
          <w:highlight w:val="white"/>
          <w:u w:val="none"/>
          <w:vertAlign w:val="baseline"/>
          <w:rtl w:val="0"/>
        </w:rPr>
        <w:t xml:space="preserve">VIP plyn</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3978271484375" w:line="240" w:lineRule="auto"/>
        <w:ind w:left="140.5271911621093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Sjednané ceny za dodávku plynu jsou uvedeny v Příloze č. 1 této Smlouvy</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3990478515625" w:line="240" w:lineRule="auto"/>
        <w:ind w:left="146.6471862792968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e7e6e6" w:val="clear"/>
          <w:vertAlign w:val="baseline"/>
          <w:rtl w:val="0"/>
        </w:rPr>
        <w:t xml:space="preserve">Lhůta pro přijetí Nabídky a doručení podepsané smlouvy končí: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07.12.2022, 13:00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3990478515625" w:line="240" w:lineRule="auto"/>
        <w:ind w:left="146.6471862792968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e7e6e6" w:val="clear"/>
          <w:vertAlign w:val="baseline"/>
          <w:rtl w:val="0"/>
        </w:rPr>
        <w:t xml:space="preserve">Důvod: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Nový odběr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Změna zákazníka (přepis)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Změna dodavatele – původní dodavatel: Eneco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1392822265625" w:line="240" w:lineRule="auto"/>
        <w:ind w:left="95.21041870117188"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Webový Portál innosvět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335205078125" w:line="242.8370475769043" w:lineRule="auto"/>
        <w:ind w:left="141.04324340820312" w:right="340.833740234375" w:firstLine="4.25994873046875"/>
        <w:jc w:val="left"/>
        <w:rPr>
          <w:rFonts w:ascii="Calibri" w:cs="Calibri" w:eastAsia="Calibri" w:hAnsi="Calibri"/>
          <w:b w:val="0"/>
          <w:i w:val="0"/>
          <w:smallCaps w:val="0"/>
          <w:strike w:val="0"/>
          <w:color w:val="000000"/>
          <w:sz w:val="17.040000915527344"/>
          <w:szCs w:val="17.040000915527344"/>
          <w:u w:val="none"/>
          <w:shd w:fill="e7e6e6" w:val="clear"/>
          <w:vertAlign w:val="baseline"/>
        </w:rPr>
      </w:pPr>
      <w:r w:rsidDel="00000000" w:rsidR="00000000" w:rsidRPr="00000000">
        <w:rPr>
          <w:rFonts w:ascii="Calibri" w:cs="Calibri" w:eastAsia="Calibri" w:hAnsi="Calibri"/>
          <w:b w:val="0"/>
          <w:i w:val="0"/>
          <w:smallCaps w:val="0"/>
          <w:strike w:val="0"/>
          <w:color w:val="000000"/>
          <w:sz w:val="17.040000915527344"/>
          <w:szCs w:val="17.040000915527344"/>
          <w:u w:val="none"/>
          <w:shd w:fill="e7e6e6" w:val="clear"/>
          <w:vertAlign w:val="baseline"/>
          <w:rtl w:val="0"/>
        </w:rPr>
        <w:t xml:space="preserve">innogy poskytne Zákazníkovi zabezpečený přístup do bezplatného webového portálu innosvět („Portál innosvět“), který slouží k obsluze </w:t>
      </w:r>
      <w:r w:rsidDel="00000000" w:rsidR="00000000" w:rsidRPr="00000000">
        <w:rPr>
          <w:rFonts w:ascii="Calibri" w:cs="Calibri" w:eastAsia="Calibri" w:hAnsi="Calibri"/>
          <w:b w:val="0"/>
          <w:i w:val="0"/>
          <w:smallCaps w:val="0"/>
          <w:strike w:val="0"/>
          <w:color w:val="000000"/>
          <w:sz w:val="17.040000915527344"/>
          <w:szCs w:val="17.04000091552734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7.040000915527344"/>
          <w:szCs w:val="17.040000915527344"/>
          <w:u w:val="none"/>
          <w:shd w:fill="e7e6e6" w:val="clear"/>
          <w:vertAlign w:val="baseline"/>
          <w:rtl w:val="0"/>
        </w:rPr>
        <w:t xml:space="preserve">smluvního účtu dodávky plynu a předá mu k němu přístupové údaje. Zákazník je povinen se do Portálu innosvět přihlásit, neprodleně po </w:t>
      </w:r>
      <w:r w:rsidDel="00000000" w:rsidR="00000000" w:rsidRPr="00000000">
        <w:rPr>
          <w:rFonts w:ascii="Calibri" w:cs="Calibri" w:eastAsia="Calibri" w:hAnsi="Calibri"/>
          <w:b w:val="0"/>
          <w:i w:val="0"/>
          <w:smallCaps w:val="0"/>
          <w:strike w:val="0"/>
          <w:color w:val="000000"/>
          <w:sz w:val="17.040000915527344"/>
          <w:szCs w:val="17.04000091552734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7.040000915527344"/>
          <w:szCs w:val="17.040000915527344"/>
          <w:u w:val="none"/>
          <w:shd w:fill="e7e6e6" w:val="clear"/>
          <w:vertAlign w:val="baseline"/>
          <w:rtl w:val="0"/>
        </w:rPr>
        <w:t xml:space="preserve">prvním přihlášení změnit přístupové heslo a toto heslo chránit před zneužitím. Strany se dohodly, že veškerá komunikace, jež bude mezi nimi </w:t>
      </w:r>
      <w:r w:rsidDel="00000000" w:rsidR="00000000" w:rsidRPr="00000000">
        <w:rPr>
          <w:rFonts w:ascii="Calibri" w:cs="Calibri" w:eastAsia="Calibri" w:hAnsi="Calibri"/>
          <w:b w:val="0"/>
          <w:i w:val="0"/>
          <w:smallCaps w:val="0"/>
          <w:strike w:val="0"/>
          <w:color w:val="000000"/>
          <w:sz w:val="17.040000915527344"/>
          <w:szCs w:val="17.04000091552734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7.040000915527344"/>
          <w:szCs w:val="17.040000915527344"/>
          <w:u w:val="none"/>
          <w:shd w:fill="e7e6e6" w:val="clear"/>
          <w:vertAlign w:val="baseline"/>
          <w:rtl w:val="0"/>
        </w:rPr>
        <w:t xml:space="preserve">probíhat prostřednictvím Portálu innosvět se staví na úroveň písemné komunikaci a Strany jsou povinny tuto komunikaci pravidelně sledovat, </w:t>
      </w:r>
      <w:r w:rsidDel="00000000" w:rsidR="00000000" w:rsidRPr="00000000">
        <w:rPr>
          <w:rFonts w:ascii="Calibri" w:cs="Calibri" w:eastAsia="Calibri" w:hAnsi="Calibri"/>
          <w:b w:val="0"/>
          <w:i w:val="0"/>
          <w:smallCaps w:val="0"/>
          <w:strike w:val="0"/>
          <w:color w:val="000000"/>
          <w:sz w:val="17.040000915527344"/>
          <w:szCs w:val="17.04000091552734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7.040000915527344"/>
          <w:szCs w:val="17.040000915527344"/>
          <w:u w:val="none"/>
          <w:shd w:fill="e7e6e6" w:val="clear"/>
          <w:vertAlign w:val="baseline"/>
          <w:rtl w:val="0"/>
        </w:rPr>
        <w:t xml:space="preserve">zejména se jedná o návrhy na úpravu smluvních podmínek.</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0088348388672" w:line="240" w:lineRule="auto"/>
        <w:ind w:left="0" w:right="865.882568359375" w:firstLine="0"/>
        <w:jc w:val="right"/>
        <w:rPr>
          <w:rFonts w:ascii="Calibri" w:cs="Calibri" w:eastAsia="Calibri" w:hAnsi="Calibri"/>
          <w:b w:val="0"/>
          <w:i w:val="0"/>
          <w:smallCaps w:val="0"/>
          <w:strike w:val="0"/>
          <w:color w:val="000000"/>
          <w:sz w:val="17.040000915527344"/>
          <w:szCs w:val="17.040000915527344"/>
          <w:u w:val="none"/>
          <w:shd w:fill="e7e6e6" w:val="clear"/>
          <w:vertAlign w:val="baseline"/>
        </w:rPr>
        <w:sectPr>
          <w:pgSz w:h="16820" w:w="11900" w:orient="portrait"/>
          <w:pgMar w:bottom="566.3999938964844" w:top="552.000732421875" w:left="1082.5727844238281" w:right="546.357421875" w:header="0" w:footer="720"/>
          <w:pgNumType w:start="1"/>
        </w:sectPr>
      </w:pPr>
      <w:r w:rsidDel="00000000" w:rsidR="00000000" w:rsidRPr="00000000">
        <w:rPr>
          <w:rFonts w:ascii="Calibri" w:cs="Calibri" w:eastAsia="Calibri" w:hAnsi="Calibri"/>
          <w:b w:val="0"/>
          <w:i w:val="0"/>
          <w:smallCaps w:val="0"/>
          <w:strike w:val="0"/>
          <w:color w:val="000000"/>
          <w:sz w:val="17.040000915527344"/>
          <w:szCs w:val="17.040000915527344"/>
          <w:u w:val="none"/>
          <w:shd w:fill="e7e6e6" w:val="clear"/>
          <w:vertAlign w:val="baseline"/>
        </w:rPr>
        <w:drawing>
          <wp:inline distB="19050" distT="19050" distL="19050" distR="19050">
            <wp:extent cx="718668" cy="305435"/>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18668" cy="30543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6.17077827453613" w:lineRule="auto"/>
        <w:ind w:left="15.8831787109375" w:right="0" w:hanging="4.255142211914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SMLOUVA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 SDRUŽENÝCH SLUŽBÁCH DODÁVKY PLYNU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(strana 2/2)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8134765625" w:line="246.4519500732422" w:lineRule="auto"/>
        <w:ind w:left="5.7071685791015625" w:right="367.154541015625" w:firstLine="6.820831298828125"/>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PŘEDMĚT SMLOUVY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 innogy se zavazuje dodávat Zákazníkovi plyn a zajistit na  vlastní jméno a účet službu distribuční soustavy. Zákazník se zavazuje zaplatit innogy  za dodaný plyn a související služby innogy dohodnutou cenu a za službu distribuční  soustavy a ostatní regulované služby cenu dle účinného cenového rozhodnutí  Energetického regulačního úřadu („ERÚ“).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11865234375" w:line="245.87777137756348" w:lineRule="auto"/>
        <w:ind w:left="5.7071685791015625" w:right="276.53564453125" w:firstLine="6.820831298828125"/>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DODÁVKA PLYNU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 Dodávka plynu probíhá v souladu s Obchodními podmínkami  sdružených služeb dodávky plynu č. 12/2018 („OP“) zveřejněnými na webu innogy,  Cenovým ujednáním (Příloha č. 1) a Ceníkem služeb, které jsou nedílnou součástí  Smlouvy. Zákazník potvrzuje, že se s těmito dokumenty seznámil, porozuměl jim a bez  výhrad je akceptuje. innogy je oprávněna OP a Ceník služeb měnit na základě důvodů  v nich uvedených. Vyrozumění o navrhované změně smluvních podmínek může být  realizováno zasláním listiny, e-mailu, SMS, v Portálu innosvět či telefonicky.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43994140625" w:line="245.5045223236084" w:lineRule="auto"/>
        <w:ind w:left="0" w:right="343.4893798828125" w:firstLine="12.388839721679688"/>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UZAVŘENÍ A TRVÁNÍ SMLOUVY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 Smlouva je uzavřena na dobu určitou do  31. prosince 2023 („Základní doba“) od účinnosti a nelze ji předčasně vypovědět,  nestanoví-li zákon jinak. Zákazník má právo písemně odstoupit od Smlouvy v případě  jejího porušení podstatným způsobem ze strany innogy či v případě nesouhlasu s  navrhovanou změnou smluvních podmínek. Podrobnosti (vč. lhůt a situací, v nichž  právo na odstoupení nevzniká) stanoví OP a energetický zákon („EZ“). Nevypoví-li  jedna ze Stran písemně druhé Straně Smlouvu nejpozději do 31. srpna příslušného  kalendářního roku před koncem doby jejího trvání, prodlužuje se marným uplynutím  této lhůty doba jejího trvání bez dalšího vždy o dobu od 1. 1. do 31. 12. následujícího  kalendářního roku („Prolongace“) navazující na Základní dobu nebo Prolongaci  počínaje následujícím dnem po jejich uplynutí, a to i opakovaně.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9521484375" w:line="245.46841621398926" w:lineRule="auto"/>
        <w:ind w:left="7.2383880615234375" w:right="278.06640625" w:firstLine="0.8351898193359375"/>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Smlouva je uzavřena na základě písemné podepsané nabídky doručené Zákazníkovi ze  strany innogy („Nabídka“). Lhůta pro přijetí Nabídky a doručení podepsané Smlouvy  končí dnem uvedeným výše, Smlouvy doručené později nebudou akceptovány a  považují se za neuzavřené. Pokud innogy ve lhůtě 30 dnů ode dne pozdního doručení  Smlouvy prokazatelně sdělí Zákazníkovi, že ji akceptuje, je Smlouva uzavřena.  Smlouva nabývá platnosti dnem doručení podepsané Smlouvy do innogy a účinnosti  dnem termínu zahájení dodávky („TZD“) do toho z odběrných míst („OM“) Zákazníka  uvedených v Příloze č. 1 této Smlouvy, u něhož dojde k zahájení dodávky nejdříve,  přičemž innogy je oprávněna TZD pro jednotlivá OM Zákazníka sdělením zaslaným  Zákazníkovi z důvodů uvedených v OP jednostranně a přiměřeně změnit. Smlouvu lze  uzavřít též elektronicky, a to (i) zachycením el. akceptace Zákazníka v el. systému  innogy dle § 562 odst. 2 z. č. 89/2012 Sb., využívajícího internet („systém“), (ii)  prostým el. podpisem ve formě el. zachycení linií vlastnoručního podpisu Zákazníka  (bez biometriky) na el. verzi Smlouvy snímacím zařízením provozovaným innogy, (iii)  doručením Zákazníkem akceptované Smlouvy v běžném el. formátu na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26171875" w:line="245.58045387268066" w:lineRule="auto"/>
        <w:ind w:left="4.0367889404296875" w:right="282.9376220703125" w:firstLine="8.908843994140625"/>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info@innogy.cz s jeho kvalifikovaným el. podpisem nebo prostým el. podpisem  vytvořeným pomocí skenu či digitální fotografie věrně zachycující el. obraz listinné  podoby Smlouvy opatřené vlastnoručním podpisem Zákazníka a současně  faksimiliemi podpisů za innogy, nebo (iv) jinak dle instrukcí innogy doručených  Zákazníkovi. V takovém případě tam, kde se ve Smlouvě hovoří o „podpisu“ a  „doručení“, mají tyto pojmy rovněž význam „elektronický podpis“, „elektronické  doručení“ či „akceptace v systému“ nahrazující podpis i doručení. Listinnou formu  Smlouvy vč. souvis. dokumentů jsou Strany oprávněny jednostranně neautorizovaně  konvertovat do elektronické formy v běžných formátech. Má se za to, že  konvertovaný dokument, který věrně zachycuje obraz originálu, má mezi Stranami a  vůči třetím stranám právní a důkazní sílu originálu bez nutnosti originál předkládat.  Ten je možné skartovat, aniž by to bylo Stranám jakkoli k tíži. Zákazník souhlasí s tím,  že innogy toto právo může využít po uzavření Smlouvy s tím, že el. verze bude  Zákazníkovi zaslána do Portálu innosvět, (přihlášení viz innogy.cz), přičemž Zákazník  má možnost podat ve lhůtě 45 dnů od doručení písemnou námitku neshody el. formy  s originálem. Zákazník je oprávněn vyžádat si zaslání el. verze též na e-mail. Po  marném uplynutí této lhůty se má za to, že takový el. dokument je plně shodný s  originálem a vyjadřuje vůli Stran stejně, jako kdyby byl elektronicky učiněn. Zákazník  má kdykoli za trvání Smlouvy přístup k el. dokumentům na účtu. Strany se dohodly, že  Smlouva a ostatní dokumenty budou v innogy konvertovány pomocí skeneru a  archivovány s využitím dlouhodobé údržby pomocí elektronických pečetí podle  interních pravidel v el. systému, k němuž innogy disponuje posudkem soudního  znalce o naplnění požadavku spolehlivosti podle § 562 z. č. 89/2012 Sb. Detailní  podmínky digitalizace innogy deklaruje na webu innogy a na zák. centrech v  Technickém standardu innogy pro digitalizaci dokumentů. Strany považují  konvertovaný el. dokument v souladu s uvedeným standardem (příp. budoucím vyšší  úrovně) za ekvivalent originálu a jeho věrný obraz.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166259765625" w:line="245.41131019592285" w:lineRule="auto"/>
        <w:ind w:left="5.5680084228515625" w:right="274.1705322265625" w:firstLine="2.783966064453125"/>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CENOVÉ PODMÍNKY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 Cena za odebraný plyn a ostatní služby dodávky („Cena  plynu“) pro jednotlivá OM je stanovena dohodou jako pevná v Příloze č. 1 této  Smlouvy („Cenové ujednání“; čl. 4.1. OP se neaplikuje) a cena služeb v Ceníku služeb  („Ceník služeb“). Cena plynu určená tímto Cenovým ujednáním je platná a účinná pro  smluvní vztah mezi Zákazníkem a innogy ode dne účinnosti Smlouvy (včetně) do  posledního dne Základní doby trvání Smlouvy. Cenu plynu pro Prolongaci oznámí  innogy Zákazníkovi prostřednictvím Portálu innosvět (popř. i jiným vhodným  způsobem) nejpozději do 31. července příslušného kalendářního roku před koncem  doby trvání Smlouvy. (Pokud taková cena navržena není, platí stávající cena). Má se za  to, že Zákazník navrženou cenu akceptoval, pokud s ní nevyjádřil nejpozději do  31. srpna příslušného kalendářního roku před uplynutím doby trvání Smlouvy  nesouhlas. Vyjádření nesouhlasu musí být učiněno prostřednictvím Portálu innosvět  nebo doručeno innogy písemně způsobem stanoveným v OP a způsobuje stejné  právní účinky jako výpověď Smlouvy Zákazníkem. Cena za službu distribuční soustavy  a ostatní regulované služby je stanovena cenovým rozhodnutím ERÚ pro příslušné  období a distribuční zónu, v níž se nachází OM Zákazníka. Cenová rozhodnutí pro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400634765625" w:line="247.02667236328125" w:lineRule="auto"/>
        <w:ind w:left="276.343994140625" w:right="37.63427734375" w:firstLine="4.593505859375"/>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příslušná období jsou dostupná na www.eru.cz a ceník za službu distribuční soustavy  a ostatní regulované služby též na webu innogy. K ceně plynu bude připočtena daň z  plynu, daň z přidané hodnoty, popřípadě další daně a poplatky stanovené příslušnými  obecně závaznými předpisy.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77490234375" w:line="245.64651489257812" w:lineRule="auto"/>
        <w:ind w:left="266.600341796875" w:right="9.833984375" w:firstLine="7.2381591796875"/>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SMLUVNÍ SANKCE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 Strany utvrzují řádné splnění významných povinností dle  Smlouvy pokutami. Zákazník je povinen uhradit innogy pokutu určenou jako násobek  částky 4 000 Kč a počtu kalendářních měsíců, vč. započatých a nedokončených,  následujících po dni ukončení nebo přerušení dodávky od innogy do konce sjednané  doby trvání Smlouvy (nebo Prolongace), pokud: (i) opakovaně (tzn. dva a vícekrát)  poruší kteroukoli platební povinnost dle Smlouvy (bez ohledu na to, zda jde o tutéž či  různé povinnosti, a zda následně dojde k odstoupení od Smlouvy ze strany innogy),  nebo (ii) způsobí nemožnost dodávky ze strany innogy, nebo (iii) učiní bez souhlasu  innogy či bez důvodu na její straně jakýkoli projev vůle směřující k předčasnému  ukončení Smlouvy či změně dodavatele v rozporu se závazkem na dobu určitou dle  Smlouvy (bez ohledu na to, vůči komu byl učiněn, zda se tak stalo opožděně, zda trpěl  vadami, či na to, jak a kým je Smlouva/dodávka následně ukončena; za takový projev  vůle se považuje i plná moc ke změně dodavatele či opožděně doručená výpověď  Smlouvy na dobu určitou ke sjednanému dni jejího ukončení ve spojení se změnou  dodavatele). Zákazník se zprostí povinnosti úhrady pokuty dle (iii), pokud svůj projev  vůle včas odvolá/vezme zpět a odstraní jeho následky vůči innogy. Zákazník je  povinen bez zbytečného odkladu poskytnout innogy součinnost nezbytnou k zahájení  dodávky na základě Smlouvy, zejména nečinit právní či jiná jednání bránící v plnění  takového jejího závazku (vč. provedení změny dodavatele), vyjma těch, k nimž je  oprávněn ze zákona. V případě porušení této povinnosti je Zákazník povinen zaplatit  innogy pokutu 10 000 Kč. Stejnou pokutu je povinen uhradit Zákazník, který uvede  innogy v omyl tím, že ukončí Smlouvu dohodou nebo výpovědí dle § 11e EZ, a v  rozporu s důvodem v ní uvedeným bude v OM pokračovat v odběru u jiného  dodavatele. Zákazník je povinen zaplatit innogy pokutu ve výši 100 Kč za každý  jednotlivý případ prodlení s jakoukoli platbou dle této Smlouvy přesahující 10 dní.  Nárok na úrok z prodlení v zákonné výši tím není dotčen. Zákazník je povinen  vyúčtovanou pokutu uhradit ve lhůtě platné pro splatnost vyúčtování dle OP. Pokuty  zahrnují též příp. náhradu škody vzniklou innogy v důsledku porušení utvrzené  povinnosti Zákazníkem (vyjma škody dle čl. 7.2. OP). innogy má vedle práva na pokutu  též právo na náhradu škody vyplývající z porušení téže povinnosti v rozsahu  převyšujícím uhrazenou pokutu. Ustanovení tohoto článku jsou účinná dnem  platnosti Smlouvy.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478271484375" w:line="246.45366668701172" w:lineRule="auto"/>
        <w:ind w:left="266.600341796875" w:right="134.239501953125" w:firstLine="12.528076171875"/>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PROHLÁŠENÍ ZÁKAZNÍKA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 Fyzické osoby, které tuto Smlouvu uzavírají jménem  jednotlivých Stran, tímto prohlašují, že jsou plně oprávněny k platnému uzavření této  Smlouvy. Tato Smlouva nahrazuje veškeré předchozí případné smlouvy a dodatky  upravující dodávky plynu pro stejná OM, pokud byly mezi Zákazníkem a innogy  uzavřeny.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99365234375" w:line="240" w:lineRule="auto"/>
        <w:ind w:left="279.12841796875" w:right="0" w:firstLine="0"/>
        <w:jc w:val="left"/>
        <w:rPr>
          <w:rFonts w:ascii="Calibri" w:cs="Calibri" w:eastAsia="Calibri" w:hAnsi="Calibri"/>
          <w:b w:val="1"/>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Přílohy tvořící nedílnou součást Smlouvy: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54248046875" w:line="248.1764030456543" w:lineRule="auto"/>
        <w:ind w:left="276.761474609375" w:right="86.1083984375" w:firstLine="5.5682373046875"/>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Příloha č. 1 - Cenové ujednání a množství dodávky plynu, identifikace odběrných míst Ceník služeb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277.040405273437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Obchodní podmínky sdružených služeb dodávky plynu č. 12/2018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5538330078125" w:line="240" w:lineRule="auto"/>
        <w:ind w:left="361.4434814453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Místo a datum podpisu Zákazníka: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3985595703125" w:line="240" w:lineRule="auto"/>
        <w:ind w:left="346.8634033203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Ústí nad Orlicí, 07.12.2022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7398071289062" w:line="240" w:lineRule="auto"/>
        <w:ind w:left="348.483276367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PhDr. Jana Kalousková, ředitelka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3997802734375" w:line="240" w:lineRule="auto"/>
        <w:ind w:left="332.4633789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Jméno, funkce, podpis Zákazníka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4005737304688" w:line="240" w:lineRule="auto"/>
        <w:ind w:left="347.04345703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Místo a datum podpisu innogy:</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994873046875" w:line="240" w:lineRule="auto"/>
        <w:ind w:left="347.04345703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Praha, 07.12.2022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6011352539062" w:line="240" w:lineRule="auto"/>
        <w:ind w:left="481.5234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9878540039062" w:line="240" w:lineRule="auto"/>
        <w:ind w:left="0" w:right="0" w:firstLine="0"/>
        <w:jc w:val="center"/>
        <w:rPr>
          <w:rFonts w:ascii="Calibri" w:cs="Calibri" w:eastAsia="Calibri" w:hAnsi="Calibri"/>
          <w:b w:val="0"/>
          <w:i w:val="0"/>
          <w:smallCaps w:val="0"/>
          <w:strike w:val="0"/>
          <w:color w:val="000000"/>
          <w:sz w:val="18"/>
          <w:szCs w:val="18"/>
          <w:u w:val="none"/>
          <w:shd w:fill="e7e6e6"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Ing. Tomáš Varcop, jednatel Mgr. Zbyněk Solecký, jednatel</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9878540039062" w:line="240" w:lineRule="auto"/>
        <w:ind w:left="0" w:right="0" w:firstLine="0"/>
        <w:jc w:val="center"/>
        <w:rPr>
          <w:rFonts w:ascii="Calibri" w:cs="Calibri" w:eastAsia="Calibri" w:hAnsi="Calibri"/>
          <w:sz w:val="18"/>
          <w:szCs w:val="18"/>
          <w:shd w:fill="e7e6e6" w:val="clear"/>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9878540039062" w:line="240" w:lineRule="auto"/>
        <w:ind w:left="0" w:right="0" w:firstLine="0"/>
        <w:jc w:val="center"/>
        <w:rPr>
          <w:rFonts w:ascii="Calibri" w:cs="Calibri" w:eastAsia="Calibri" w:hAnsi="Calibri"/>
          <w:sz w:val="18"/>
          <w:szCs w:val="18"/>
          <w:shd w:fill="e7e6e6" w:val="clear"/>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9878540039062" w:line="240" w:lineRule="auto"/>
        <w:ind w:left="0" w:right="0" w:firstLine="0"/>
        <w:jc w:val="center"/>
        <w:rPr>
          <w:rFonts w:ascii="Calibri" w:cs="Calibri" w:eastAsia="Calibri" w:hAnsi="Calibri"/>
          <w:sz w:val="18"/>
          <w:szCs w:val="18"/>
          <w:shd w:fill="e7e6e6" w:val="clear"/>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9878540039062" w:line="240" w:lineRule="auto"/>
        <w:ind w:left="0" w:right="0" w:firstLine="0"/>
        <w:jc w:val="center"/>
        <w:rPr>
          <w:rFonts w:ascii="Calibri" w:cs="Calibri" w:eastAsia="Calibri" w:hAnsi="Calibri"/>
          <w:sz w:val="18"/>
          <w:szCs w:val="18"/>
          <w:shd w:fill="e7e6e6" w:val="clear"/>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9878540039062" w:line="240" w:lineRule="auto"/>
        <w:ind w:left="0" w:right="0" w:firstLine="0"/>
        <w:jc w:val="center"/>
        <w:rPr>
          <w:rFonts w:ascii="Calibri" w:cs="Calibri" w:eastAsia="Calibri" w:hAnsi="Calibri"/>
          <w:sz w:val="18"/>
          <w:szCs w:val="18"/>
          <w:shd w:fill="e7e6e6" w:val="clear"/>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9878540039062" w:line="240" w:lineRule="auto"/>
        <w:ind w:left="0" w:right="0" w:firstLine="0"/>
        <w:jc w:val="center"/>
        <w:rPr>
          <w:rFonts w:ascii="Calibri" w:cs="Calibri" w:eastAsia="Calibri" w:hAnsi="Calibri"/>
          <w:sz w:val="18"/>
          <w:szCs w:val="18"/>
          <w:shd w:fill="e7e6e6" w:val="clear"/>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9878540039062" w:line="240" w:lineRule="auto"/>
        <w:ind w:left="0" w:right="0" w:firstLine="0"/>
        <w:jc w:val="center"/>
        <w:rPr>
          <w:rFonts w:ascii="Calibri" w:cs="Calibri" w:eastAsia="Calibri" w:hAnsi="Calibri"/>
          <w:sz w:val="18"/>
          <w:szCs w:val="18"/>
          <w:shd w:fill="e7e6e6" w:val="clear"/>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9878540039062" w:line="240" w:lineRule="auto"/>
        <w:ind w:left="0" w:right="0" w:firstLine="0"/>
        <w:jc w:val="center"/>
        <w:rPr>
          <w:rFonts w:ascii="Calibri" w:cs="Calibri" w:eastAsia="Calibri" w:hAnsi="Calibri"/>
          <w:sz w:val="18"/>
          <w:szCs w:val="18"/>
          <w:shd w:fill="e7e6e6" w:val="clear"/>
        </w:rPr>
        <w:sectPr>
          <w:type w:val="continuous"/>
          <w:pgSz w:h="16820" w:w="11900" w:orient="portrait"/>
          <w:pgMar w:bottom="566.3999938964844" w:top="552.000732421875" w:left="1129.8767852783203" w:right="539.957275390625" w:header="0" w:footer="720"/>
          <w:cols w:equalWidth="0" w:num="2">
            <w:col w:space="0" w:w="5120"/>
            <w:col w:space="0" w:w="5120"/>
          </w:cols>
        </w:sect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PŘÍLOHA Č. 1 </w:t>
      </w:r>
      <w:r w:rsidDel="00000000" w:rsidR="00000000" w:rsidRPr="00000000">
        <w:drawing>
          <wp:anchor allowOverlap="1" behindDoc="0" distB="19050" distT="19050" distL="19050" distR="19050" hidden="0" layoutInCell="1" locked="0" relativeHeight="0" simplePos="0">
            <wp:simplePos x="0" y="0"/>
            <wp:positionH relativeFrom="column">
              <wp:posOffset>5262007</wp:posOffset>
            </wp:positionH>
            <wp:positionV relativeFrom="paragraph">
              <wp:posOffset>28701</wp:posOffset>
            </wp:positionV>
            <wp:extent cx="755650" cy="1101090"/>
            <wp:effectExtent b="0" l="0" r="0" t="0"/>
            <wp:wrapSquare wrapText="left" distB="19050" distT="19050" distL="19050" distR="1905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755650" cy="1101090"/>
                    </a:xfrm>
                    <a:prstGeom prst="rect"/>
                    <a:ln/>
                  </pic:spPr>
                </pic:pic>
              </a:graphicData>
            </a:graphic>
          </wp:anchor>
        </w:drawing>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6494140625" w:line="199.9200010299682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KE SMLOUVĚ O SDRUŽENÝCH SLUŽBÁCH DODÁVKY PLYNU č. ZP22/18/149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199.9200010299682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Cenové ujednání a množství dodávky plynu, identifikace odběrných míst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724609375" w:line="199.9200010299682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(strana 1/1)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39599609375" w:line="243.18766593933105" w:lineRule="auto"/>
        <w:ind w:left="0"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UPOZORNĚNÍ: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Tato Příloha č. 1 a celý její obsah tvoří obchodní tajemství Obchodníka a Obchodník ji tímto jako obchodní  tajemství vůči Zákazníkovi označuje. Zákazník se zavazuje zacházet s informacemi obsaženými v tomto dokumentu jako  s důvěrnými a nesdělovat je třetím osobám. V případě, že Smlouva podléhá uveřejnění v registru smluv dle zákona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181640625" w:line="244.6780300140381" w:lineRule="auto"/>
        <w:ind w:left="0"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číslo 340/2015 Sb., o registru smluv, dle dohody Smluvních stran nebudou tato Příloha č. 1 a informace z ní uveřejněny (více viz Obchodní podmínky).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1220703125" w:line="199.92000102996826" w:lineRule="auto"/>
        <w:ind w:left="0"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IDENTIFIKACE ODBĚRNÉHO MÍSTA Č. 1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33837890625" w:line="199.9200010299682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Místo a datum podpisu Zákazníka Místo a datum podpisu innogy:</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540771484375" w:line="199.9200010299682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Ústí nad Orlicí, 07.12.2022 Praha, 07.12.2022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340087890625" w:line="199.9200010299682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PhDr. Jana Kalousková, ředitelka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95703125" w:line="8943.532104492188" w:lineRule="auto"/>
        <w:ind w:left="0" w:right="0" w:firstLine="0"/>
        <w:jc w:val="left"/>
        <w:rPr>
          <w:rFonts w:ascii="Calibri" w:cs="Calibri" w:eastAsia="Calibri" w:hAnsi="Calibri"/>
          <w:b w:val="0"/>
          <w:i w:val="0"/>
          <w:smallCaps w:val="0"/>
          <w:strike w:val="0"/>
          <w:color w:val="000000"/>
          <w:sz w:val="18"/>
          <w:szCs w:val="18"/>
          <w:u w:val="none"/>
          <w:shd w:fill="e7e6e6"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7e6e6" w:val="clear"/>
          <w:vertAlign w:val="baseline"/>
          <w:rtl w:val="0"/>
        </w:rPr>
        <w:t xml:space="preserve">Jméno, funkce, podpis Zákazníka Ing. Tomáš Varcop, jednatel Mgr. Zbyněk Solecký, jednatel</w:t>
      </w:r>
      <w:r w:rsidDel="00000000" w:rsidR="00000000" w:rsidRPr="00000000">
        <w:rPr>
          <w:rFonts w:ascii="Calibri" w:cs="Calibri" w:eastAsia="Calibri" w:hAnsi="Calibri"/>
          <w:b w:val="0"/>
          <w:i w:val="0"/>
          <w:smallCaps w:val="0"/>
          <w:strike w:val="0"/>
          <w:color w:val="000000"/>
          <w:sz w:val="18"/>
          <w:szCs w:val="18"/>
          <w:u w:val="none"/>
          <w:shd w:fill="e7e6e6" w:val="clear"/>
          <w:vertAlign w:val="baseline"/>
        </w:rPr>
        <w:drawing>
          <wp:inline distB="19050" distT="19050" distL="19050" distR="19050">
            <wp:extent cx="718668" cy="305435"/>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718668" cy="305435"/>
                    </a:xfrm>
                    <a:prstGeom prst="rect"/>
                    <a:ln/>
                  </pic:spPr>
                </pic:pic>
              </a:graphicData>
            </a:graphic>
          </wp:inline>
        </w:drawing>
      </w:r>
      <w:r w:rsidDel="00000000" w:rsidR="00000000" w:rsidRPr="00000000">
        <w:rPr>
          <w:rtl w:val="0"/>
        </w:rPr>
      </w:r>
    </w:p>
    <w:sectPr>
      <w:type w:val="continuous"/>
      <w:pgSz w:h="16820" w:w="11900" w:orient="portrait"/>
      <w:pgMar w:bottom="566.3999938964844" w:top="552.000732421875" w:left="1440" w:right="1440" w:header="0" w:footer="720"/>
      <w:cols w:equalWidth="0" w:num="1">
        <w:col w:space="0" w:w="90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