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264" w:rsidRDefault="0014504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Dodatek č. 1 ke smlouvě o dílo</w:t>
      </w:r>
    </w:p>
    <w:p w:rsidR="000F4264" w:rsidRDefault="000F4264">
      <w:pPr>
        <w:spacing w:line="240" w:lineRule="auto"/>
        <w:jc w:val="center"/>
      </w:pPr>
    </w:p>
    <w:p w:rsidR="000F4264" w:rsidRDefault="0014504F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Smluvní strany:</w:t>
      </w:r>
    </w:p>
    <w:p w:rsidR="000F4264" w:rsidRDefault="0014504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4264" w:rsidRDefault="0014504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Technická univerzita v Liberci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v: Studentská 1402/2, 460 01 Liberec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 46747885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CZ46747885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 w:rsidR="0061751D">
        <w:rPr>
          <w:rFonts w:ascii="Times New Roman" w:hAnsi="Times New Roman" w:cs="Times New Roman"/>
        </w:rPr>
        <w:t>XXXXXXXXXXXXXXXXXXXXXXXXXX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Účet číslo: </w:t>
      </w:r>
      <w:r w:rsidR="0061751D">
        <w:rPr>
          <w:rFonts w:ascii="Times New Roman" w:hAnsi="Times New Roman" w:cs="Times New Roman"/>
        </w:rPr>
        <w:t>XXXXXXXXXXXXXX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 xml:space="preserve">  </w:t>
      </w:r>
    </w:p>
    <w:p w:rsidR="000F4264" w:rsidRDefault="0014504F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ab/>
        <w:t xml:space="preserve">Zastoupena: doc. Ing. </w:t>
      </w:r>
      <w:r>
        <w:rPr>
          <w:rFonts w:ascii="Times New Roman" w:eastAsia="Times New Roman" w:hAnsi="Times New Roman" w:cs="Times New Roman"/>
        </w:rPr>
        <w:t xml:space="preserve">Vladimírem </w:t>
      </w:r>
      <w:proofErr w:type="spellStart"/>
      <w:r>
        <w:rPr>
          <w:rFonts w:ascii="Times New Roman" w:eastAsia="Times New Roman" w:hAnsi="Times New Roman" w:cs="Times New Roman"/>
        </w:rPr>
        <w:t>Bajzíkem</w:t>
      </w:r>
      <w:proofErr w:type="spellEnd"/>
      <w:r>
        <w:rPr>
          <w:rFonts w:ascii="Times New Roman" w:eastAsia="Times New Roman" w:hAnsi="Times New Roman" w:cs="Times New Roman"/>
        </w:rPr>
        <w:t>, Ph.D. děkanem FT</w:t>
      </w:r>
    </w:p>
    <w:p w:rsidR="000F4264" w:rsidRDefault="0014504F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Osoba zodpovědná za smluvní vztah: </w:t>
      </w:r>
      <w:r w:rsidR="0061751D">
        <w:rPr>
          <w:rFonts w:ascii="Times New Roman" w:eastAsia="Times New Roman" w:hAnsi="Times New Roman" w:cs="Times New Roman"/>
        </w:rPr>
        <w:t>XXXXXXXXXXXXXXXXXXXXXXXX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Interní číslo smlouvy: </w:t>
      </w:r>
      <w:r>
        <w:rPr>
          <w:rFonts w:ascii="Times New Roman" w:eastAsia="Times New Roman" w:hAnsi="Times New Roman" w:cs="Times New Roman"/>
        </w:rPr>
        <w:t>S/FT/4290/2022/49</w:t>
      </w:r>
    </w:p>
    <w:p w:rsidR="000F4264" w:rsidRDefault="0014504F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>(dále jako „</w:t>
      </w:r>
      <w:r>
        <w:rPr>
          <w:rFonts w:ascii="Times New Roman" w:eastAsia="Times New Roman" w:hAnsi="Times New Roman" w:cs="Times New Roman"/>
          <w:b/>
        </w:rPr>
        <w:t>zhotovitel</w:t>
      </w:r>
      <w:r>
        <w:rPr>
          <w:rFonts w:ascii="Times New Roman" w:eastAsia="Times New Roman" w:hAnsi="Times New Roman" w:cs="Times New Roman"/>
        </w:rPr>
        <w:t>“)</w:t>
      </w:r>
    </w:p>
    <w:p w:rsidR="000F4264" w:rsidRDefault="000F4264">
      <w:pPr>
        <w:spacing w:line="240" w:lineRule="auto"/>
        <w:jc w:val="both"/>
      </w:pPr>
    </w:p>
    <w:p w:rsidR="000F4264" w:rsidRDefault="0014504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SaYu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s.r.o. 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v: Červená Skála 338, Řež, 250 68 Husinec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Zapsaná: v Obchodním rejs</w:t>
      </w:r>
      <w:r>
        <w:rPr>
          <w:rFonts w:ascii="Times New Roman" w:eastAsia="Times New Roman" w:hAnsi="Times New Roman" w:cs="Times New Roman"/>
        </w:rPr>
        <w:t xml:space="preserve">tříku vedeném Městským soudem v Praze </w:t>
      </w:r>
      <w:proofErr w:type="spellStart"/>
      <w:r>
        <w:rPr>
          <w:rFonts w:ascii="Times New Roman" w:eastAsia="Times New Roman" w:hAnsi="Times New Roman" w:cs="Times New Roman"/>
        </w:rPr>
        <w:t>sp</w:t>
      </w:r>
      <w:proofErr w:type="spellEnd"/>
      <w:r>
        <w:rPr>
          <w:rFonts w:ascii="Times New Roman" w:eastAsia="Times New Roman" w:hAnsi="Times New Roman" w:cs="Times New Roman"/>
        </w:rPr>
        <w:t>. zn. C 315779     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 08320497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CZ08320497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Bankovní spojení: </w:t>
      </w:r>
      <w:r w:rsidR="0061751D">
        <w:rPr>
          <w:rFonts w:ascii="Times New Roman" w:eastAsia="Times New Roman" w:hAnsi="Times New Roman" w:cs="Times New Roman"/>
        </w:rPr>
        <w:t>XXXXXXXXXXXXXXXX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Účet číslo: </w:t>
      </w:r>
      <w:r w:rsidR="0061751D">
        <w:rPr>
          <w:rFonts w:ascii="Times New Roman" w:eastAsia="Times New Roman" w:hAnsi="Times New Roman" w:cs="Times New Roman"/>
        </w:rPr>
        <w:t>XXXXXXXXXXXXXXX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Zastoupená: Janou </w:t>
      </w:r>
      <w:proofErr w:type="spellStart"/>
      <w:r>
        <w:rPr>
          <w:rFonts w:ascii="Times New Roman" w:eastAsia="Times New Roman" w:hAnsi="Times New Roman" w:cs="Times New Roman"/>
        </w:rPr>
        <w:t>Mohlovou</w:t>
      </w:r>
      <w:proofErr w:type="spellEnd"/>
      <w:r>
        <w:rPr>
          <w:rFonts w:ascii="Times New Roman" w:eastAsia="Times New Roman" w:hAnsi="Times New Roman" w:cs="Times New Roman"/>
        </w:rPr>
        <w:t xml:space="preserve">, jednatelkou </w:t>
      </w:r>
    </w:p>
    <w:p w:rsidR="000F4264" w:rsidRDefault="0014504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jako „</w:t>
      </w:r>
      <w:r>
        <w:rPr>
          <w:rFonts w:ascii="Times New Roman" w:eastAsia="Times New Roman" w:hAnsi="Times New Roman" w:cs="Times New Roman"/>
          <w:b/>
        </w:rPr>
        <w:t>objednatel</w:t>
      </w:r>
      <w:r>
        <w:rPr>
          <w:rFonts w:ascii="Times New Roman" w:eastAsia="Times New Roman" w:hAnsi="Times New Roman" w:cs="Times New Roman"/>
        </w:rPr>
        <w:t>“),</w:t>
      </w:r>
    </w:p>
    <w:p w:rsidR="000F4264" w:rsidRDefault="0014504F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:rsidR="000F4264" w:rsidRDefault="0014504F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>(dále také společně jako „</w:t>
      </w:r>
      <w:r>
        <w:rPr>
          <w:rFonts w:ascii="Times New Roman" w:eastAsia="Times New Roman" w:hAnsi="Times New Roman" w:cs="Times New Roman"/>
          <w:b/>
        </w:rPr>
        <w:t xml:space="preserve">smluvní </w:t>
      </w:r>
      <w:r>
        <w:rPr>
          <w:rFonts w:ascii="Times New Roman" w:eastAsia="Times New Roman" w:hAnsi="Times New Roman" w:cs="Times New Roman"/>
          <w:b/>
        </w:rPr>
        <w:t>strany</w:t>
      </w:r>
      <w:r>
        <w:rPr>
          <w:rFonts w:ascii="Times New Roman" w:eastAsia="Times New Roman" w:hAnsi="Times New Roman" w:cs="Times New Roman"/>
        </w:rPr>
        <w:t>“)</w:t>
      </w:r>
    </w:p>
    <w:p w:rsidR="000F4264" w:rsidRDefault="000F4264">
      <w:pPr>
        <w:spacing w:line="240" w:lineRule="auto"/>
        <w:jc w:val="both"/>
      </w:pPr>
    </w:p>
    <w:p w:rsidR="000F4264" w:rsidRDefault="000F4264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</w:rPr>
      </w:pPr>
    </w:p>
    <w:p w:rsidR="000F4264" w:rsidRDefault="0014504F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Úvodní ustanovení</w:t>
      </w:r>
    </w:p>
    <w:p w:rsidR="000F4264" w:rsidRDefault="000F4264">
      <w:pPr>
        <w:spacing w:line="240" w:lineRule="auto"/>
        <w:jc w:val="both"/>
      </w:pPr>
    </w:p>
    <w:p w:rsidR="000F4264" w:rsidRDefault="0014504F">
      <w:pPr>
        <w:numPr>
          <w:ilvl w:val="0"/>
          <w:numId w:val="3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Smluvní strany uzavřely dne 26. 7. 2022 smlouvu dílo č. S/FT/4290/2022/16, jejímž předmětem je měření </w:t>
      </w:r>
      <w:proofErr w:type="spellStart"/>
      <w:r>
        <w:rPr>
          <w:rFonts w:ascii="Times New Roman" w:eastAsia="Times New Roman" w:hAnsi="Times New Roman" w:cs="Times New Roman"/>
        </w:rPr>
        <w:t>termofyziologických</w:t>
      </w:r>
      <w:proofErr w:type="spellEnd"/>
      <w:r>
        <w:rPr>
          <w:rFonts w:ascii="Times New Roman" w:eastAsia="Times New Roman" w:hAnsi="Times New Roman" w:cs="Times New Roman"/>
        </w:rPr>
        <w:t xml:space="preserve"> vlastností textilních materiálů dodaných objednatelem, příprava </w:t>
      </w:r>
      <w:r>
        <w:rPr>
          <w:rFonts w:ascii="Times New Roman" w:eastAsia="Times New Roman" w:hAnsi="Times New Roman" w:cs="Times New Roman"/>
        </w:rPr>
        <w:lastRenderedPageBreak/>
        <w:t>závěrečné zprávy, vyhodnocení a nalezení</w:t>
      </w:r>
      <w:r>
        <w:rPr>
          <w:rFonts w:ascii="Times New Roman" w:eastAsia="Times New Roman" w:hAnsi="Times New Roman" w:cs="Times New Roman"/>
        </w:rPr>
        <w:t xml:space="preserve"> nejlepší savé textilní vrstvy a sledování směrového šíření vlhkosti kalhotkách, v kvalitě a rozsahu stanoveném touto smlouvou.</w:t>
      </w:r>
    </w:p>
    <w:p w:rsidR="000F4264" w:rsidRDefault="0014504F">
      <w:pPr>
        <w:numPr>
          <w:ilvl w:val="0"/>
          <w:numId w:val="3"/>
        </w:numPr>
        <w:spacing w:line="240" w:lineRule="auto"/>
        <w:ind w:hanging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tímto dodatkem dohodly na změně termínu plnění a s tím souvisejícím termínu druhé platby.</w:t>
      </w:r>
    </w:p>
    <w:p w:rsidR="000F4264" w:rsidRDefault="000F4264">
      <w:pPr>
        <w:spacing w:line="240" w:lineRule="auto"/>
        <w:ind w:left="644"/>
        <w:jc w:val="both"/>
        <w:rPr>
          <w:rFonts w:ascii="Times New Roman" w:eastAsia="Times New Roman" w:hAnsi="Times New Roman" w:cs="Times New Roman"/>
        </w:rPr>
      </w:pPr>
    </w:p>
    <w:p w:rsidR="000F4264" w:rsidRDefault="000F4264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0F4264" w:rsidRDefault="0014504F">
      <w:pPr>
        <w:spacing w:line="240" w:lineRule="auto"/>
        <w:ind w:left="64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Předmět dodatku</w:t>
      </w:r>
    </w:p>
    <w:p w:rsidR="000F4264" w:rsidRDefault="000F4264">
      <w:pPr>
        <w:spacing w:line="240" w:lineRule="auto"/>
        <w:ind w:left="644"/>
        <w:rPr>
          <w:rFonts w:ascii="Times New Roman" w:eastAsia="Times New Roman" w:hAnsi="Times New Roman" w:cs="Times New Roman"/>
          <w:b/>
        </w:rPr>
      </w:pPr>
    </w:p>
    <w:p w:rsidR="000F4264" w:rsidRDefault="0014504F">
      <w:pPr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sjednávají změnu čl. II. odst. 2 smlouvy o dílo následovně:</w:t>
      </w:r>
    </w:p>
    <w:p w:rsidR="000F4264" w:rsidRDefault="0014504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„Platba ceny za dílo bude objednatelem provedena bezhotovostně na účet zhotovitele ve dvou platbách. První platba ve výši 100.000 Kč (slovy </w:t>
      </w:r>
      <w:proofErr w:type="spellStart"/>
      <w:r>
        <w:rPr>
          <w:rFonts w:ascii="Times New Roman" w:eastAsia="Times New Roman" w:hAnsi="Times New Roman" w:cs="Times New Roman"/>
          <w:i/>
        </w:rPr>
        <w:t>jednostotisíc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korun českých) bez DPH bude</w:t>
      </w:r>
      <w:r>
        <w:rPr>
          <w:rFonts w:ascii="Times New Roman" w:eastAsia="Times New Roman" w:hAnsi="Times New Roman" w:cs="Times New Roman"/>
          <w:i/>
        </w:rPr>
        <w:t xml:space="preserve"> provedena na základě zálohové faktury vystavené zhotovitelem se splatností 30. 8. 2022. Zálohová faktura bude vystavena nejméně třicet (30) kalendářních dnů před splatností. Druhá platba ve výši 300.000 Kč (slovy </w:t>
      </w:r>
      <w:proofErr w:type="spellStart"/>
      <w:r>
        <w:rPr>
          <w:rFonts w:ascii="Times New Roman" w:eastAsia="Times New Roman" w:hAnsi="Times New Roman" w:cs="Times New Roman"/>
          <w:i/>
        </w:rPr>
        <w:t>třistatisíc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korun českých) bez DPH bude pr</w:t>
      </w:r>
      <w:r>
        <w:rPr>
          <w:rFonts w:ascii="Times New Roman" w:eastAsia="Times New Roman" w:hAnsi="Times New Roman" w:cs="Times New Roman"/>
          <w:i/>
        </w:rPr>
        <w:t xml:space="preserve">ovedena na základě vyúčtovací faktury vystavené zhotovitelem po předání díla se splatností třicet (30) kalendářních dnů ode dne vystavení vyúčtovací faktury.“ </w:t>
      </w:r>
    </w:p>
    <w:p w:rsidR="000F4264" w:rsidRDefault="0014504F">
      <w:pPr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sjednávají změnu čl. III. smlouvy o dílo následovně:</w:t>
      </w:r>
    </w:p>
    <w:p w:rsidR="000F4264" w:rsidRDefault="0014504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„Zhotovitel se zavazuje </w:t>
      </w:r>
      <w:r>
        <w:rPr>
          <w:rFonts w:ascii="Times New Roman" w:eastAsia="Times New Roman" w:hAnsi="Times New Roman" w:cs="Times New Roman"/>
          <w:i/>
        </w:rPr>
        <w:t>provést dílo do 1. 2. 2023.“</w:t>
      </w:r>
    </w:p>
    <w:p w:rsidR="000F4264" w:rsidRDefault="000F4264">
      <w:pPr>
        <w:spacing w:line="240" w:lineRule="auto"/>
        <w:rPr>
          <w:b/>
        </w:rPr>
      </w:pPr>
    </w:p>
    <w:p w:rsidR="000F4264" w:rsidRDefault="0014504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Závěrečná ustanovení</w:t>
      </w:r>
    </w:p>
    <w:p w:rsidR="000F4264" w:rsidRDefault="000F4264">
      <w:pPr>
        <w:spacing w:line="240" w:lineRule="auto"/>
        <w:jc w:val="center"/>
      </w:pPr>
    </w:p>
    <w:p w:rsidR="000F4264" w:rsidRDefault="0014504F">
      <w:pPr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dodatek nabývá platnosti dnem podpisu oběma smluvními stranami a účinnosti dnem uveřejnění v registru smluv.</w:t>
      </w:r>
    </w:p>
    <w:p w:rsidR="000F4264" w:rsidRDefault="0014504F">
      <w:pPr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Tento dodatek je vyhotoven ve 2 originálech, z nichž každá ze smluvních stran obdrží </w:t>
      </w:r>
      <w:r>
        <w:rPr>
          <w:rFonts w:ascii="Times New Roman" w:eastAsia="Times New Roman" w:hAnsi="Times New Roman" w:cs="Times New Roman"/>
        </w:rPr>
        <w:t>po 1 originále.</w:t>
      </w:r>
    </w:p>
    <w:p w:rsidR="000F4264" w:rsidRDefault="0014504F">
      <w:pPr>
        <w:numPr>
          <w:ilvl w:val="0"/>
          <w:numId w:val="4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po přečtení tohoto dodatku prohlašují, že souhlasí s jeho obsahem, že tento byl sepsán vážně, určitě, srozumitelně a na základě jejich pravé a svobodné vůle, na důkaz čehož připojují své podpisy.</w:t>
      </w:r>
    </w:p>
    <w:p w:rsidR="000F4264" w:rsidRDefault="000F4264">
      <w:pPr>
        <w:spacing w:line="240" w:lineRule="auto"/>
      </w:pPr>
    </w:p>
    <w:tbl>
      <w:tblPr>
        <w:tblStyle w:val="Style12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5301"/>
      </w:tblGrid>
      <w:tr w:rsidR="000F4264">
        <w:trPr>
          <w:trHeight w:val="1372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F4264" w:rsidRDefault="0014504F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Razítko a podpis objednatel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0F4264" w:rsidRDefault="000F426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4264" w:rsidRDefault="000F426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4264" w:rsidRDefault="000F426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4264" w:rsidRDefault="0014504F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Mohlová</w:t>
            </w:r>
            <w:proofErr w:type="spellEnd"/>
          </w:p>
          <w:p w:rsidR="000F4264" w:rsidRDefault="0014504F">
            <w:pPr>
              <w:spacing w:after="6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</w:rPr>
              <w:t>Husinci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dne </w:t>
            </w:r>
            <w:r w:rsidR="0061751D">
              <w:rPr>
                <w:rFonts w:ascii="Times New Roman" w:eastAsia="Times New Roman" w:hAnsi="Times New Roman" w:cs="Times New Roman"/>
              </w:rPr>
              <w:t>5.12.2022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0F4264" w:rsidRDefault="0014504F">
            <w:pPr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Razítko a podpis zhotovitele</w:t>
            </w:r>
          </w:p>
          <w:p w:rsidR="000F4264" w:rsidRDefault="000F426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4264" w:rsidRDefault="000F426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4264" w:rsidRDefault="000F426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4264" w:rsidRDefault="001450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doc. Ing. Vladimír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Bajzík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4264" w:rsidRDefault="0014504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V Liberci dne </w:t>
            </w:r>
            <w:r w:rsidR="0061751D">
              <w:rPr>
                <w:rFonts w:ascii="Times New Roman" w:eastAsia="Times New Roman" w:hAnsi="Times New Roman" w:cs="Times New Roman"/>
              </w:rPr>
              <w:t>12.12.2022</w:t>
            </w:r>
            <w:bookmarkStart w:id="1" w:name="_GoBack"/>
            <w:bookmarkEnd w:id="1"/>
          </w:p>
        </w:tc>
      </w:tr>
    </w:tbl>
    <w:p w:rsidR="000F4264" w:rsidRDefault="0014504F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0F4264">
      <w:headerReference w:type="default" r:id="rId9"/>
      <w:footerReference w:type="default" r:id="rId10"/>
      <w:pgSz w:w="11907" w:h="16840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04F" w:rsidRDefault="0014504F">
      <w:pPr>
        <w:spacing w:after="0" w:line="240" w:lineRule="auto"/>
      </w:pPr>
      <w:r>
        <w:separator/>
      </w:r>
    </w:p>
  </w:endnote>
  <w:endnote w:type="continuationSeparator" w:id="0">
    <w:p w:rsidR="0014504F" w:rsidRDefault="0014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264" w:rsidRDefault="000F4264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:rsidR="000F4264" w:rsidRDefault="0014504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TECHNICKÁ UNIVERZITA V LIBERCI</w:t>
    </w:r>
    <w:r>
      <w:rPr>
        <w:b/>
        <w:bCs/>
        <w:color w:val="7E1A47"/>
        <w:sz w:val="12"/>
        <w:szCs w:val="16"/>
      </w:rPr>
      <w:t xml:space="preserve"> </w:t>
    </w:r>
    <w:r>
      <w:rPr>
        <w:color w:val="7E1A47"/>
        <w:sz w:val="12"/>
        <w:szCs w:val="16"/>
      </w:rPr>
      <w:t>|</w:t>
    </w:r>
    <w:r>
      <w:rPr>
        <w:color w:val="7AC141"/>
        <w:sz w:val="12"/>
        <w:szCs w:val="16"/>
      </w:rPr>
      <w:t xml:space="preserve"> </w:t>
    </w:r>
    <w:r>
      <w:rPr>
        <w:color w:val="57585A"/>
        <w:sz w:val="12"/>
        <w:szCs w:val="16"/>
      </w:rPr>
      <w:t xml:space="preserve">Studentská 1402/2 </w:t>
    </w:r>
    <w:r>
      <w:rPr>
        <w:color w:val="7E1A47"/>
        <w:sz w:val="12"/>
        <w:szCs w:val="16"/>
      </w:rPr>
      <w:t>|</w:t>
    </w:r>
    <w:r>
      <w:rPr>
        <w:color w:val="7AC141"/>
        <w:sz w:val="12"/>
        <w:szCs w:val="16"/>
      </w:rPr>
      <w:t xml:space="preserve"> </w:t>
    </w:r>
    <w:r>
      <w:rPr>
        <w:color w:val="57585A"/>
        <w:sz w:val="12"/>
        <w:szCs w:val="16"/>
      </w:rPr>
      <w:t>461 17 Liberec 1</w:t>
    </w:r>
    <w:r>
      <w:rPr>
        <w:sz w:val="12"/>
        <w:szCs w:val="16"/>
      </w:rPr>
      <w:t xml:space="preserve"> </w:t>
    </w:r>
  </w:p>
  <w:p w:rsidR="000F4264" w:rsidRDefault="0014504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>
      <w:rPr>
        <w:i/>
        <w:iCs/>
        <w:sz w:val="11"/>
        <w:szCs w:val="9"/>
      </w:rPr>
      <w:t xml:space="preserve"> </w:t>
    </w:r>
    <w:r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 xml:space="preserve">jmeno.prijmeni@tul.cz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 xml:space="preserve">www.tul.cz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 xml:space="preserve">IČ: 467 47 885 </w:t>
    </w:r>
    <w:r>
      <w:rPr>
        <w:i/>
        <w:iCs/>
        <w:color w:val="7E1A47"/>
        <w:sz w:val="11"/>
        <w:szCs w:val="9"/>
      </w:rPr>
      <w:t>|</w:t>
    </w:r>
    <w:r>
      <w:rPr>
        <w:i/>
        <w:iCs/>
        <w:color w:val="7AC141"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DIČ: CZ 467 47 885</w:t>
    </w:r>
  </w:p>
  <w:p w:rsidR="000F4264" w:rsidRDefault="000F42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04F" w:rsidRDefault="0014504F">
      <w:pPr>
        <w:spacing w:after="0" w:line="240" w:lineRule="auto"/>
      </w:pPr>
      <w:r>
        <w:separator/>
      </w:r>
    </w:p>
  </w:footnote>
  <w:footnote w:type="continuationSeparator" w:id="0">
    <w:p w:rsidR="0014504F" w:rsidRDefault="0014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264" w:rsidRDefault="0014504F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-1152525</wp:posOffset>
          </wp:positionH>
          <wp:positionV relativeFrom="paragraph">
            <wp:posOffset>-705485</wp:posOffset>
          </wp:positionV>
          <wp:extent cx="7560310" cy="101092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53A6"/>
    <w:multiLevelType w:val="multilevel"/>
    <w:tmpl w:val="0DDC53A6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" w15:restartNumberingAfterBreak="0">
    <w:nsid w:val="2FA051DD"/>
    <w:multiLevelType w:val="multilevel"/>
    <w:tmpl w:val="2FA051DD"/>
    <w:lvl w:ilvl="0">
      <w:start w:val="1"/>
      <w:numFmt w:val="upperRoman"/>
      <w:lvlText w:val="%1."/>
      <w:lvlJc w:val="left"/>
      <w:pPr>
        <w:ind w:left="1364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00937F0"/>
    <w:multiLevelType w:val="multilevel"/>
    <w:tmpl w:val="500937F0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87256F6"/>
    <w:multiLevelType w:val="multilevel"/>
    <w:tmpl w:val="587256F6"/>
    <w:lvl w:ilvl="0">
      <w:start w:val="1"/>
      <w:numFmt w:val="decimal"/>
      <w:lvlText w:val="%1."/>
      <w:lvlJc w:val="left"/>
      <w:pPr>
        <w:ind w:left="-655" w:firstLine="108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65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785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505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225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945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665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385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105" w:firstLine="7020"/>
      </w:pPr>
      <w:rPr>
        <w:rFonts w:hint="default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CB"/>
    <w:rsid w:val="00021098"/>
    <w:rsid w:val="0002403B"/>
    <w:rsid w:val="00027187"/>
    <w:rsid w:val="0003263B"/>
    <w:rsid w:val="00047737"/>
    <w:rsid w:val="00063797"/>
    <w:rsid w:val="00063B70"/>
    <w:rsid w:val="0006549F"/>
    <w:rsid w:val="00066DE5"/>
    <w:rsid w:val="00081188"/>
    <w:rsid w:val="000869C5"/>
    <w:rsid w:val="00086AE9"/>
    <w:rsid w:val="00090D58"/>
    <w:rsid w:val="000C058E"/>
    <w:rsid w:val="000C4D49"/>
    <w:rsid w:val="000D13E7"/>
    <w:rsid w:val="000D2977"/>
    <w:rsid w:val="000F4264"/>
    <w:rsid w:val="00114540"/>
    <w:rsid w:val="00123221"/>
    <w:rsid w:val="001363A4"/>
    <w:rsid w:val="00136632"/>
    <w:rsid w:val="0014504F"/>
    <w:rsid w:val="001464C7"/>
    <w:rsid w:val="00150CB2"/>
    <w:rsid w:val="001607EF"/>
    <w:rsid w:val="001665E0"/>
    <w:rsid w:val="001815CD"/>
    <w:rsid w:val="001854F4"/>
    <w:rsid w:val="00194B3E"/>
    <w:rsid w:val="001964AE"/>
    <w:rsid w:val="001A3771"/>
    <w:rsid w:val="001B090F"/>
    <w:rsid w:val="001D12B3"/>
    <w:rsid w:val="001D284C"/>
    <w:rsid w:val="001E2EC9"/>
    <w:rsid w:val="001E6F62"/>
    <w:rsid w:val="001F7AE3"/>
    <w:rsid w:val="00212452"/>
    <w:rsid w:val="00217B94"/>
    <w:rsid w:val="00240576"/>
    <w:rsid w:val="00243833"/>
    <w:rsid w:val="002438CB"/>
    <w:rsid w:val="00244017"/>
    <w:rsid w:val="00244440"/>
    <w:rsid w:val="00246453"/>
    <w:rsid w:val="00250087"/>
    <w:rsid w:val="002550C2"/>
    <w:rsid w:val="00262ED1"/>
    <w:rsid w:val="00265DFB"/>
    <w:rsid w:val="00270348"/>
    <w:rsid w:val="00281B0F"/>
    <w:rsid w:val="002851CE"/>
    <w:rsid w:val="00293DBF"/>
    <w:rsid w:val="002D4A62"/>
    <w:rsid w:val="002E0D9D"/>
    <w:rsid w:val="002E49DB"/>
    <w:rsid w:val="003153F9"/>
    <w:rsid w:val="0031739E"/>
    <w:rsid w:val="00322494"/>
    <w:rsid w:val="00325F32"/>
    <w:rsid w:val="00327C97"/>
    <w:rsid w:val="00354B3A"/>
    <w:rsid w:val="00355513"/>
    <w:rsid w:val="00361F82"/>
    <w:rsid w:val="00373466"/>
    <w:rsid w:val="00385CD4"/>
    <w:rsid w:val="003A5398"/>
    <w:rsid w:val="003B35B3"/>
    <w:rsid w:val="003E01C2"/>
    <w:rsid w:val="003E0693"/>
    <w:rsid w:val="003F2038"/>
    <w:rsid w:val="00401431"/>
    <w:rsid w:val="00412395"/>
    <w:rsid w:val="00425147"/>
    <w:rsid w:val="00436EF5"/>
    <w:rsid w:val="00444B7F"/>
    <w:rsid w:val="00445EF5"/>
    <w:rsid w:val="004512EE"/>
    <w:rsid w:val="004560A2"/>
    <w:rsid w:val="004614C5"/>
    <w:rsid w:val="00471941"/>
    <w:rsid w:val="00473B8C"/>
    <w:rsid w:val="004846B3"/>
    <w:rsid w:val="00484D88"/>
    <w:rsid w:val="00486A6F"/>
    <w:rsid w:val="00493150"/>
    <w:rsid w:val="004D0DC0"/>
    <w:rsid w:val="004F0155"/>
    <w:rsid w:val="005075FA"/>
    <w:rsid w:val="00530468"/>
    <w:rsid w:val="0053636B"/>
    <w:rsid w:val="0054357D"/>
    <w:rsid w:val="00543751"/>
    <w:rsid w:val="00550A40"/>
    <w:rsid w:val="005524CE"/>
    <w:rsid w:val="00586C59"/>
    <w:rsid w:val="005A629C"/>
    <w:rsid w:val="005B0BEC"/>
    <w:rsid w:val="005D56AC"/>
    <w:rsid w:val="005D7418"/>
    <w:rsid w:val="005D7962"/>
    <w:rsid w:val="0061751D"/>
    <w:rsid w:val="0064753C"/>
    <w:rsid w:val="00667359"/>
    <w:rsid w:val="00674339"/>
    <w:rsid w:val="00681218"/>
    <w:rsid w:val="006A0CEE"/>
    <w:rsid w:val="006B0489"/>
    <w:rsid w:val="006B1EB9"/>
    <w:rsid w:val="006B3F24"/>
    <w:rsid w:val="006C4363"/>
    <w:rsid w:val="006D33FF"/>
    <w:rsid w:val="006D6633"/>
    <w:rsid w:val="006D7D77"/>
    <w:rsid w:val="006E3EEF"/>
    <w:rsid w:val="006F0C79"/>
    <w:rsid w:val="006F143B"/>
    <w:rsid w:val="007009DD"/>
    <w:rsid w:val="00730C6F"/>
    <w:rsid w:val="00732FF2"/>
    <w:rsid w:val="007341A7"/>
    <w:rsid w:val="007342D5"/>
    <w:rsid w:val="00742845"/>
    <w:rsid w:val="007716F7"/>
    <w:rsid w:val="00773588"/>
    <w:rsid w:val="0078115A"/>
    <w:rsid w:val="00797EDE"/>
    <w:rsid w:val="007A5F08"/>
    <w:rsid w:val="007E00C2"/>
    <w:rsid w:val="007E3311"/>
    <w:rsid w:val="007F0026"/>
    <w:rsid w:val="007F28B8"/>
    <w:rsid w:val="0080282E"/>
    <w:rsid w:val="00807B7D"/>
    <w:rsid w:val="00816171"/>
    <w:rsid w:val="00821340"/>
    <w:rsid w:val="0082170B"/>
    <w:rsid w:val="00824C78"/>
    <w:rsid w:val="008301E0"/>
    <w:rsid w:val="008345E1"/>
    <w:rsid w:val="00834D89"/>
    <w:rsid w:val="00845109"/>
    <w:rsid w:val="00854D43"/>
    <w:rsid w:val="00855C66"/>
    <w:rsid w:val="00895A14"/>
    <w:rsid w:val="008B5EBD"/>
    <w:rsid w:val="008D182A"/>
    <w:rsid w:val="008D4600"/>
    <w:rsid w:val="008E3B0E"/>
    <w:rsid w:val="008F707E"/>
    <w:rsid w:val="009123F4"/>
    <w:rsid w:val="00914475"/>
    <w:rsid w:val="00916485"/>
    <w:rsid w:val="00956E06"/>
    <w:rsid w:val="00965C40"/>
    <w:rsid w:val="00974615"/>
    <w:rsid w:val="00990AE0"/>
    <w:rsid w:val="009924C6"/>
    <w:rsid w:val="009A0F68"/>
    <w:rsid w:val="009A7BCB"/>
    <w:rsid w:val="009C03E6"/>
    <w:rsid w:val="009C5013"/>
    <w:rsid w:val="009F172B"/>
    <w:rsid w:val="00A00916"/>
    <w:rsid w:val="00A10566"/>
    <w:rsid w:val="00A152D1"/>
    <w:rsid w:val="00A158C5"/>
    <w:rsid w:val="00A26F5A"/>
    <w:rsid w:val="00A3042F"/>
    <w:rsid w:val="00A34B37"/>
    <w:rsid w:val="00A37DFC"/>
    <w:rsid w:val="00A5041A"/>
    <w:rsid w:val="00A736F7"/>
    <w:rsid w:val="00A82C54"/>
    <w:rsid w:val="00A91614"/>
    <w:rsid w:val="00AA505C"/>
    <w:rsid w:val="00AA5728"/>
    <w:rsid w:val="00AB3856"/>
    <w:rsid w:val="00AD6566"/>
    <w:rsid w:val="00AE0C5F"/>
    <w:rsid w:val="00AF74E0"/>
    <w:rsid w:val="00B158CA"/>
    <w:rsid w:val="00B16A4C"/>
    <w:rsid w:val="00B253A6"/>
    <w:rsid w:val="00B323AE"/>
    <w:rsid w:val="00B3342B"/>
    <w:rsid w:val="00B35148"/>
    <w:rsid w:val="00B4591A"/>
    <w:rsid w:val="00B51C0E"/>
    <w:rsid w:val="00B56B3D"/>
    <w:rsid w:val="00B73112"/>
    <w:rsid w:val="00B73A53"/>
    <w:rsid w:val="00B85BA4"/>
    <w:rsid w:val="00BB4E98"/>
    <w:rsid w:val="00BC00E6"/>
    <w:rsid w:val="00BD5D50"/>
    <w:rsid w:val="00BF02EC"/>
    <w:rsid w:val="00C033A5"/>
    <w:rsid w:val="00C05E35"/>
    <w:rsid w:val="00C338D7"/>
    <w:rsid w:val="00C41CF7"/>
    <w:rsid w:val="00C75EE8"/>
    <w:rsid w:val="00C76658"/>
    <w:rsid w:val="00C77E04"/>
    <w:rsid w:val="00C857DB"/>
    <w:rsid w:val="00C86E4F"/>
    <w:rsid w:val="00CA17CE"/>
    <w:rsid w:val="00CA31DB"/>
    <w:rsid w:val="00CA490D"/>
    <w:rsid w:val="00CB0EAF"/>
    <w:rsid w:val="00CB2479"/>
    <w:rsid w:val="00CB3994"/>
    <w:rsid w:val="00CC14BC"/>
    <w:rsid w:val="00CC1BC5"/>
    <w:rsid w:val="00CC354B"/>
    <w:rsid w:val="00CE0BC1"/>
    <w:rsid w:val="00CE278B"/>
    <w:rsid w:val="00CE7C14"/>
    <w:rsid w:val="00CF238B"/>
    <w:rsid w:val="00CF2755"/>
    <w:rsid w:val="00CF29C3"/>
    <w:rsid w:val="00CF3A57"/>
    <w:rsid w:val="00D03209"/>
    <w:rsid w:val="00D1536A"/>
    <w:rsid w:val="00D24A5B"/>
    <w:rsid w:val="00D417AC"/>
    <w:rsid w:val="00D65E4F"/>
    <w:rsid w:val="00D6742C"/>
    <w:rsid w:val="00D76D1F"/>
    <w:rsid w:val="00D8690B"/>
    <w:rsid w:val="00DA05DB"/>
    <w:rsid w:val="00DA4C77"/>
    <w:rsid w:val="00DA5ACD"/>
    <w:rsid w:val="00DB08B9"/>
    <w:rsid w:val="00DB1001"/>
    <w:rsid w:val="00DB1C67"/>
    <w:rsid w:val="00DB3C10"/>
    <w:rsid w:val="00DC1ABF"/>
    <w:rsid w:val="00DC3922"/>
    <w:rsid w:val="00DF0A7C"/>
    <w:rsid w:val="00DF3182"/>
    <w:rsid w:val="00E05304"/>
    <w:rsid w:val="00E06784"/>
    <w:rsid w:val="00E159F1"/>
    <w:rsid w:val="00E20606"/>
    <w:rsid w:val="00E23FFE"/>
    <w:rsid w:val="00E27083"/>
    <w:rsid w:val="00E303E3"/>
    <w:rsid w:val="00E339FD"/>
    <w:rsid w:val="00E371A6"/>
    <w:rsid w:val="00E4616E"/>
    <w:rsid w:val="00E5058D"/>
    <w:rsid w:val="00E50D42"/>
    <w:rsid w:val="00E538F2"/>
    <w:rsid w:val="00E547C1"/>
    <w:rsid w:val="00E57DD1"/>
    <w:rsid w:val="00E63050"/>
    <w:rsid w:val="00E66DD7"/>
    <w:rsid w:val="00E748E0"/>
    <w:rsid w:val="00E75D89"/>
    <w:rsid w:val="00EA0013"/>
    <w:rsid w:val="00EA61BC"/>
    <w:rsid w:val="00EB06DF"/>
    <w:rsid w:val="00ED246F"/>
    <w:rsid w:val="00EE751A"/>
    <w:rsid w:val="00F057F6"/>
    <w:rsid w:val="00F1530B"/>
    <w:rsid w:val="00F32BE1"/>
    <w:rsid w:val="00F404C5"/>
    <w:rsid w:val="00F4239E"/>
    <w:rsid w:val="00F42D46"/>
    <w:rsid w:val="00F43FD2"/>
    <w:rsid w:val="00F53965"/>
    <w:rsid w:val="00F66A7A"/>
    <w:rsid w:val="00F6743B"/>
    <w:rsid w:val="00F800A8"/>
    <w:rsid w:val="00F8311B"/>
    <w:rsid w:val="00F87E2C"/>
    <w:rsid w:val="00F9606E"/>
    <w:rsid w:val="00FA1A63"/>
    <w:rsid w:val="00FB2CB6"/>
    <w:rsid w:val="00FD3D21"/>
    <w:rsid w:val="00FF0F28"/>
    <w:rsid w:val="0B664603"/>
    <w:rsid w:val="67D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3682"/>
  <w15:docId w15:val="{12DC8173-0B45-4C80-BEAE-B48067F0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line="276" w:lineRule="auto"/>
    </w:pPr>
    <w:rPr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70" w:type="dxa"/>
        <w:right w:w="70" w:type="dxa"/>
      </w:tblCellMar>
    </w:tblPr>
  </w:style>
  <w:style w:type="table" w:customStyle="1" w:styleId="Style13">
    <w:name w:val="_Style 13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4">
    <w:name w:val="_Style 14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5">
    <w:name w:val="_Style 15"/>
    <w:basedOn w:val="TableNormal1"/>
    <w:qFormat/>
    <w:tblPr>
      <w:tblCellMar>
        <w:left w:w="70" w:type="dxa"/>
        <w:right w:w="70" w:type="dxa"/>
      </w:tblCellMar>
    </w:tblPr>
  </w:style>
  <w:style w:type="character" w:customStyle="1" w:styleId="TextkomenteChar">
    <w:name w:val="Text komentáře Char"/>
    <w:basedOn w:val="Standardnpsmoodstavce"/>
    <w:link w:val="Textkomente"/>
    <w:qFormat/>
    <w:rPr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sz w:val="20"/>
      <w:szCs w:val="20"/>
    </w:rPr>
  </w:style>
  <w:style w:type="paragraph" w:customStyle="1" w:styleId="Revize1">
    <w:name w:val="Revize1"/>
    <w:hidden/>
    <w:uiPriority w:val="99"/>
    <w:semiHidden/>
    <w:qFormat/>
    <w:pPr>
      <w:spacing w:line="240" w:lineRule="auto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EC23D-4F4E-4C51-A61B-B6492576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2300</Characters>
  <Application>Microsoft Office Word</Application>
  <DocSecurity>0</DocSecurity>
  <Lines>19</Lines>
  <Paragraphs>5</Paragraphs>
  <ScaleCrop>false</ScaleCrop>
  <Company>Arzinger &amp; Partneři, s.r.o.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spanhmir</dc:creator>
  <cp:lastModifiedBy>uzivatel</cp:lastModifiedBy>
  <cp:revision>2</cp:revision>
  <cp:lastPrinted>2016-11-16T09:24:00Z</cp:lastPrinted>
  <dcterms:created xsi:type="dcterms:W3CDTF">2022-12-12T12:02:00Z</dcterms:created>
  <dcterms:modified xsi:type="dcterms:W3CDTF">2022-12-12T12:02:00Z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