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3883" w14:textId="1B365F6A" w:rsidR="002B1EEC" w:rsidRDefault="0093195B" w:rsidP="0093195B">
      <w:pPr>
        <w:pStyle w:val="Zhlav"/>
        <w:tabs>
          <w:tab w:val="clear" w:pos="4536"/>
          <w:tab w:val="left" w:pos="6804"/>
        </w:tabs>
      </w:pPr>
      <w:r>
        <w:tab/>
      </w:r>
      <w:r>
        <w:tab/>
      </w:r>
      <w:r w:rsidR="002B1EEC" w:rsidRPr="005D0460">
        <w:t>KK0</w:t>
      </w:r>
      <w:r w:rsidR="005D0460">
        <w:t>3170</w:t>
      </w:r>
      <w:r w:rsidR="002B1EEC" w:rsidRPr="005D0460">
        <w:t>/</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0A0B9457"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676FD5">
        <w:rPr>
          <w:rFonts w:ascii="Tahoma" w:hAnsi="Tahoma" w:cs="Tahoma"/>
        </w:rPr>
        <w:t>Město Hranice</w:t>
      </w:r>
    </w:p>
    <w:p w14:paraId="55591164" w14:textId="43721BA3"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676FD5">
        <w:rPr>
          <w:rFonts w:ascii="Tahoma" w:hAnsi="Tahoma" w:cs="Tahoma"/>
        </w:rPr>
        <w:t>U Pošty 182, 351 24 Hranice</w:t>
      </w:r>
    </w:p>
    <w:p w14:paraId="54FD1599" w14:textId="58427667"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3502E5">
        <w:rPr>
          <w:rFonts w:ascii="Tahoma" w:hAnsi="Tahoma" w:cs="Tahoma"/>
        </w:rPr>
        <w:t>00</w:t>
      </w:r>
      <w:r w:rsidR="003502E5" w:rsidRPr="003502E5">
        <w:rPr>
          <w:rFonts w:ascii="Tahoma" w:hAnsi="Tahoma" w:cs="Tahoma"/>
        </w:rPr>
        <w:t>253</w:t>
      </w:r>
      <w:r w:rsidR="00100012">
        <w:rPr>
          <w:rFonts w:ascii="Tahoma" w:hAnsi="Tahoma" w:cs="Tahoma"/>
        </w:rPr>
        <w:t>9</w:t>
      </w:r>
      <w:r w:rsidR="00676FD5">
        <w:rPr>
          <w:rFonts w:ascii="Tahoma" w:hAnsi="Tahoma" w:cs="Tahoma"/>
        </w:rPr>
        <w:t>61</w:t>
      </w:r>
    </w:p>
    <w:p w14:paraId="0C327A7B" w14:textId="461D7872"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p>
    <w:p w14:paraId="079189BE" w14:textId="5C7D8A92"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676FD5">
        <w:rPr>
          <w:rFonts w:ascii="Tahoma" w:hAnsi="Tahoma" w:cs="Tahoma"/>
        </w:rPr>
        <w:t xml:space="preserve">Ing. Danielem </w:t>
      </w:r>
      <w:proofErr w:type="spellStart"/>
      <w:r w:rsidR="00676FD5">
        <w:rPr>
          <w:rFonts w:ascii="Tahoma" w:hAnsi="Tahoma" w:cs="Tahoma"/>
        </w:rPr>
        <w:t>Mašlárem</w:t>
      </w:r>
      <w:proofErr w:type="spellEnd"/>
      <w:r w:rsidR="003502E5">
        <w:rPr>
          <w:rFonts w:ascii="Tahoma" w:hAnsi="Tahoma" w:cs="Tahoma"/>
        </w:rPr>
        <w:t xml:space="preserve">, starostou </w:t>
      </w:r>
      <w:r w:rsidR="00274929">
        <w:rPr>
          <w:rFonts w:ascii="Tahoma" w:hAnsi="Tahoma" w:cs="Tahoma"/>
        </w:rPr>
        <w:t>města</w:t>
      </w:r>
    </w:p>
    <w:p w14:paraId="755DF551" w14:textId="095E9B24"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450E8184"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307C84">
        <w:rPr>
          <w:sz w:val="22"/>
          <w:szCs w:val="22"/>
        </w:rPr>
        <w:t>xxxxxxxxxxxxxxxxxxxxxxxx</w:t>
      </w:r>
      <w:proofErr w:type="spellEnd"/>
      <w:r w:rsidR="00A33A22">
        <w:rPr>
          <w:sz w:val="22"/>
          <w:szCs w:val="22"/>
        </w:rPr>
        <w:t>;</w:t>
      </w:r>
    </w:p>
    <w:p w14:paraId="79D344FA" w14:textId="47D86461" w:rsidR="00A33A22" w:rsidRDefault="00307C84" w:rsidP="00214FF6">
      <w:pPr>
        <w:pStyle w:val="Default"/>
        <w:spacing w:after="60"/>
        <w:ind w:left="1800"/>
        <w:rPr>
          <w:sz w:val="22"/>
          <w:szCs w:val="22"/>
        </w:rPr>
      </w:pPr>
      <w:proofErr w:type="spellStart"/>
      <w:r>
        <w:rPr>
          <w:sz w:val="22"/>
          <w:szCs w:val="22"/>
        </w:rPr>
        <w:t>xxxxxxxxxxxxxxxxxxxxxxxx</w:t>
      </w:r>
      <w:proofErr w:type="spellEnd"/>
    </w:p>
    <w:p w14:paraId="390A27BA" w14:textId="6209A541"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307C84">
        <w:rPr>
          <w:sz w:val="22"/>
          <w:szCs w:val="22"/>
        </w:rPr>
        <w:t>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3CB7C541" w:rsidR="00091077" w:rsidRPr="00091077" w:rsidRDefault="00091077" w:rsidP="00091077">
      <w:pPr>
        <w:ind w:left="567"/>
        <w:rPr>
          <w:rFonts w:ascii="Tahoma" w:hAnsi="Tahoma" w:cs="Tahoma"/>
        </w:rPr>
      </w:pPr>
      <w:r w:rsidRPr="00B46DC8">
        <w:rPr>
          <w:rFonts w:ascii="Tahoma" w:hAnsi="Tahoma" w:cs="Tahoma"/>
        </w:rPr>
        <w:t>Usnesením Rady města</w:t>
      </w:r>
      <w:r w:rsidR="00B46DC8">
        <w:rPr>
          <w:rFonts w:ascii="Tahoma" w:hAnsi="Tahoma" w:cs="Tahoma"/>
        </w:rPr>
        <w:t xml:space="preserve"> Hranice</w:t>
      </w:r>
      <w:r w:rsidR="00B46DC8">
        <w:rPr>
          <w:rFonts w:ascii="Tahoma" w:hAnsi="Tahoma" w:cs="Tahoma"/>
        </w:rPr>
        <w:tab/>
      </w:r>
      <w:r w:rsidR="00B46DC8">
        <w:rPr>
          <w:rFonts w:ascii="Tahoma" w:hAnsi="Tahoma" w:cs="Tahoma"/>
        </w:rPr>
        <w:tab/>
      </w:r>
      <w:r w:rsidRPr="00B46DC8">
        <w:rPr>
          <w:rFonts w:ascii="Tahoma" w:hAnsi="Tahoma" w:cs="Tahoma"/>
        </w:rPr>
        <w:tab/>
        <w:t xml:space="preserve">č. </w:t>
      </w:r>
      <w:r w:rsidR="00B46DC8">
        <w:rPr>
          <w:rFonts w:ascii="Tahoma" w:hAnsi="Tahoma" w:cs="Tahoma"/>
        </w:rPr>
        <w:t>RM 12/18/22</w:t>
      </w:r>
      <w:r w:rsidRPr="00B46DC8">
        <w:rPr>
          <w:rFonts w:ascii="Tahoma" w:hAnsi="Tahoma" w:cs="Tahoma"/>
        </w:rPr>
        <w:t xml:space="preserve"> ze dne </w:t>
      </w:r>
      <w:r w:rsidR="00B46DC8">
        <w:rPr>
          <w:rFonts w:ascii="Tahoma" w:hAnsi="Tahoma" w:cs="Tahoma"/>
        </w:rPr>
        <w:t>13.10.2022</w:t>
      </w:r>
      <w:bookmarkStart w:id="0" w:name="_GoBack"/>
      <w:bookmarkEnd w:id="0"/>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4B521349" w:rsidR="00A625A3" w:rsidRPr="007F6481" w:rsidRDefault="00A625A3" w:rsidP="00676FD5">
            <w:pPr>
              <w:rPr>
                <w:rFonts w:ascii="Tahoma" w:hAnsi="Tahoma" w:cs="Tahoma"/>
              </w:rPr>
            </w:pPr>
            <w:r w:rsidRPr="007F6481">
              <w:rPr>
                <w:rFonts w:ascii="Tahoma" w:hAnsi="Tahoma" w:cs="Tahoma"/>
              </w:rPr>
              <w:t>V </w:t>
            </w:r>
            <w:r w:rsidR="0026475F">
              <w:rPr>
                <w:rFonts w:ascii="Tahoma" w:hAnsi="Tahoma" w:cs="Tahoma"/>
              </w:rPr>
              <w:t>H</w:t>
            </w:r>
            <w:r w:rsidR="00676FD5">
              <w:rPr>
                <w:rFonts w:ascii="Tahoma" w:hAnsi="Tahoma" w:cs="Tahoma"/>
              </w:rPr>
              <w:t>r</w:t>
            </w:r>
            <w:r w:rsidR="0026475F">
              <w:rPr>
                <w:rFonts w:ascii="Tahoma" w:hAnsi="Tahoma" w:cs="Tahoma"/>
              </w:rPr>
              <w:t>a</w:t>
            </w:r>
            <w:r w:rsidR="00676FD5">
              <w:rPr>
                <w:rFonts w:ascii="Tahoma" w:hAnsi="Tahoma" w:cs="Tahoma"/>
              </w:rPr>
              <w:t>nicích</w:t>
            </w:r>
            <w:r w:rsidRPr="007F6481">
              <w:rPr>
                <w:rFonts w:ascii="Tahoma" w:hAnsi="Tahoma" w:cs="Tahoma"/>
              </w:rPr>
              <w:t xml:space="preserve"> dne ……</w:t>
            </w:r>
            <w:r w:rsidR="002B7445" w:rsidRPr="007F6481">
              <w:rPr>
                <w:rFonts w:ascii="Tahoma" w:hAnsi="Tahoma" w:cs="Tahoma"/>
              </w:rPr>
              <w:t>......</w:t>
            </w:r>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33597201" w:rsidR="00542721" w:rsidRDefault="00542721" w:rsidP="00542721">
            <w:pPr>
              <w:spacing w:after="200" w:line="276" w:lineRule="auto"/>
              <w:jc w:val="center"/>
              <w:rPr>
                <w:rFonts w:ascii="Tahoma" w:hAnsi="Tahoma" w:cs="Tahoma"/>
              </w:rPr>
            </w:pPr>
            <w:r>
              <w:rPr>
                <w:rFonts w:ascii="Tahoma" w:hAnsi="Tahoma" w:cs="Tahoma"/>
              </w:rPr>
              <w:t xml:space="preserve">za </w:t>
            </w:r>
            <w:r w:rsidR="00274929">
              <w:rPr>
                <w:rFonts w:ascii="Tahoma" w:hAnsi="Tahoma" w:cs="Tahoma"/>
              </w:rPr>
              <w:t>město</w:t>
            </w:r>
          </w:p>
          <w:p w14:paraId="33942B1B" w14:textId="6A04B348" w:rsidR="00D018C6" w:rsidRDefault="00D018C6" w:rsidP="00BC5556">
            <w:pPr>
              <w:tabs>
                <w:tab w:val="left" w:pos="11482"/>
              </w:tabs>
              <w:spacing w:line="264" w:lineRule="auto"/>
              <w:rPr>
                <w:rFonts w:ascii="Tahoma" w:hAnsi="Tahoma" w:cs="Tahoma"/>
              </w:rPr>
            </w:pPr>
          </w:p>
          <w:p w14:paraId="515EB82F" w14:textId="1E7AF501" w:rsidR="00BC5556" w:rsidRPr="00CB72B3" w:rsidRDefault="00BC5556" w:rsidP="00EC5D17">
            <w:pPr>
              <w:tabs>
                <w:tab w:val="left" w:pos="1387"/>
                <w:tab w:val="left" w:pos="11482"/>
              </w:tabs>
              <w:spacing w:line="264" w:lineRule="auto"/>
              <w:rPr>
                <w:rFonts w:ascii="Tahoma" w:hAnsi="Tahoma" w:cs="Tahoma"/>
              </w:rPr>
            </w:pPr>
            <w:r>
              <w:rPr>
                <w:rFonts w:ascii="Tahoma" w:hAnsi="Tahoma" w:cs="Tahoma"/>
              </w:rPr>
              <w:tab/>
            </w:r>
            <w:r w:rsidR="00676FD5">
              <w:rPr>
                <w:rFonts w:ascii="Tahoma" w:hAnsi="Tahoma" w:cs="Tahoma"/>
              </w:rPr>
              <w:t xml:space="preserve">Ing. Daniel </w:t>
            </w:r>
            <w:proofErr w:type="spellStart"/>
            <w:r w:rsidR="00676FD5">
              <w:rPr>
                <w:rFonts w:ascii="Tahoma" w:hAnsi="Tahoma" w:cs="Tahoma"/>
              </w:rPr>
              <w:t>Mašlár</w:t>
            </w:r>
            <w:proofErr w:type="spellEnd"/>
          </w:p>
          <w:p w14:paraId="152EE055" w14:textId="57A4B3F7"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3728C722"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274929">
          <w:rPr>
            <w:rFonts w:ascii="Arial" w:hAnsi="Arial" w:cs="Arial"/>
            <w:noProof/>
            <w:sz w:val="20"/>
          </w:rPr>
          <w:t>6</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B46DC8"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307C84">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09"/>
  <w:hyphenationZone w:val="425"/>
  <w:characterSpacingControl w:val="doNotCompress"/>
  <w:hdrShapeDefaults>
    <o:shapedefaults v:ext="edit" spidmax="45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79"/>
    <w:rsid w:val="0000109D"/>
    <w:rsid w:val="00003630"/>
    <w:rsid w:val="00011362"/>
    <w:rsid w:val="00013F6B"/>
    <w:rsid w:val="000152C1"/>
    <w:rsid w:val="00016964"/>
    <w:rsid w:val="000174E7"/>
    <w:rsid w:val="00020E75"/>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19ED"/>
    <w:rsid w:val="0026475F"/>
    <w:rsid w:val="00266E48"/>
    <w:rsid w:val="00270E94"/>
    <w:rsid w:val="00272A2F"/>
    <w:rsid w:val="002730CA"/>
    <w:rsid w:val="00274929"/>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6D02"/>
    <w:rsid w:val="00300F43"/>
    <w:rsid w:val="00303D23"/>
    <w:rsid w:val="00304138"/>
    <w:rsid w:val="003061B3"/>
    <w:rsid w:val="00307C84"/>
    <w:rsid w:val="00313000"/>
    <w:rsid w:val="003137B4"/>
    <w:rsid w:val="00314686"/>
    <w:rsid w:val="00321208"/>
    <w:rsid w:val="0032140C"/>
    <w:rsid w:val="00321DFA"/>
    <w:rsid w:val="00322B1B"/>
    <w:rsid w:val="00323521"/>
    <w:rsid w:val="00324401"/>
    <w:rsid w:val="003256B4"/>
    <w:rsid w:val="00325B54"/>
    <w:rsid w:val="00327AB1"/>
    <w:rsid w:val="00337C74"/>
    <w:rsid w:val="00340826"/>
    <w:rsid w:val="003434D6"/>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5369"/>
    <w:rsid w:val="00586BFF"/>
    <w:rsid w:val="00590BFF"/>
    <w:rsid w:val="00593666"/>
    <w:rsid w:val="0059496D"/>
    <w:rsid w:val="00596336"/>
    <w:rsid w:val="00596E39"/>
    <w:rsid w:val="005A275C"/>
    <w:rsid w:val="005A66C8"/>
    <w:rsid w:val="005A6BE4"/>
    <w:rsid w:val="005B2A75"/>
    <w:rsid w:val="005B3887"/>
    <w:rsid w:val="005B43F7"/>
    <w:rsid w:val="005B43F8"/>
    <w:rsid w:val="005B51AA"/>
    <w:rsid w:val="005C11DD"/>
    <w:rsid w:val="005C14F3"/>
    <w:rsid w:val="005C3DB5"/>
    <w:rsid w:val="005C691C"/>
    <w:rsid w:val="005D0460"/>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76FD5"/>
    <w:rsid w:val="0068000E"/>
    <w:rsid w:val="00680558"/>
    <w:rsid w:val="00680FBF"/>
    <w:rsid w:val="00687334"/>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1937"/>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4C39"/>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6DC8"/>
    <w:rsid w:val="00B473D3"/>
    <w:rsid w:val="00B50915"/>
    <w:rsid w:val="00B50D2D"/>
    <w:rsid w:val="00B50E24"/>
    <w:rsid w:val="00B564ED"/>
    <w:rsid w:val="00B61627"/>
    <w:rsid w:val="00B61B71"/>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1F1D"/>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070F4"/>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9"/>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4A296-C072-4EBF-8017-1FF85FA1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12916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3</cp:revision>
  <cp:lastPrinted>2022-03-10T07:39:00Z</cp:lastPrinted>
  <dcterms:created xsi:type="dcterms:W3CDTF">2022-12-08T07:32:00Z</dcterms:created>
  <dcterms:modified xsi:type="dcterms:W3CDTF">2022-12-08T07:33:00Z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