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CFDC" w14:textId="77777777" w:rsidR="004D133C" w:rsidRDefault="004D133C" w:rsidP="004D133C">
      <w:pPr>
        <w:jc w:val="right"/>
        <w:rPr>
          <w:rFonts w:ascii="Nimbus CEZ" w:hAnsi="Nimbus CEZ"/>
          <w:b/>
          <w:bCs/>
        </w:rPr>
      </w:pPr>
      <w:r>
        <w:rPr>
          <w:rFonts w:ascii="Nimbus CEZ" w:hAnsi="Nimbus CEZ" w:cs="Arial"/>
          <w:sz w:val="20"/>
        </w:rPr>
        <w:t xml:space="preserve">Příloha č. 4 ke smlouvě o dodávce tepelné energie č.: </w:t>
      </w:r>
      <w:r w:rsidRPr="009A23C2">
        <w:rPr>
          <w:rFonts w:ascii="Nimbus CEZ" w:hAnsi="Nimbus CEZ" w:cs="Arial"/>
          <w:sz w:val="20"/>
        </w:rPr>
        <w:t>T</w:t>
      </w:r>
      <w:r>
        <w:rPr>
          <w:rFonts w:ascii="Nimbus CEZ" w:hAnsi="Nimbus CEZ" w:cs="Arial"/>
          <w:sz w:val="20"/>
        </w:rPr>
        <w:t>E</w:t>
      </w:r>
      <w:r w:rsidRPr="009A23C2">
        <w:rPr>
          <w:rFonts w:ascii="Nimbus CEZ" w:hAnsi="Nimbus CEZ" w:cs="Arial"/>
          <w:sz w:val="20"/>
        </w:rPr>
        <w:t>/</w:t>
      </w:r>
      <w:r>
        <w:rPr>
          <w:rFonts w:ascii="Nimbus CEZ" w:hAnsi="Nimbus CEZ" w:cs="Arial"/>
          <w:sz w:val="20"/>
        </w:rPr>
        <w:t>32/</w:t>
      </w:r>
      <w:r w:rsidRPr="009A23C2">
        <w:rPr>
          <w:rFonts w:ascii="Nimbus CEZ" w:hAnsi="Nimbus CEZ" w:cs="Arial"/>
          <w:sz w:val="20"/>
        </w:rPr>
        <w:t>201</w:t>
      </w:r>
      <w:r>
        <w:rPr>
          <w:rFonts w:ascii="Nimbus CEZ" w:hAnsi="Nimbus CEZ" w:cs="Arial"/>
          <w:sz w:val="20"/>
        </w:rPr>
        <w:t>7</w:t>
      </w:r>
      <w:r w:rsidRPr="009A23C2">
        <w:rPr>
          <w:rFonts w:ascii="Nimbus CEZ" w:hAnsi="Nimbus CEZ" w:cs="Arial"/>
          <w:sz w:val="20"/>
        </w:rPr>
        <w:t>/ETI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D133C" w14:paraId="140AB826" w14:textId="77777777" w:rsidTr="00BB4FC8">
        <w:trPr>
          <w:trHeight w:val="13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FBD" w14:textId="77777777" w:rsidR="004D133C" w:rsidRDefault="004D133C" w:rsidP="00BB4FC8">
            <w:pPr>
              <w:jc w:val="center"/>
              <w:rPr>
                <w:rFonts w:ascii="Nimbus CEZ" w:hAnsi="Nimbus CEZ" w:cs="Arial"/>
                <w:b/>
                <w:sz w:val="20"/>
              </w:rPr>
            </w:pPr>
            <w:r>
              <w:rPr>
                <w:rFonts w:ascii="Nimbus CEZ" w:hAnsi="Nimbus CEZ"/>
                <w:b/>
                <w:bCs/>
              </w:rPr>
              <w:t>Ceník tepelné energie</w:t>
            </w:r>
            <w:r>
              <w:rPr>
                <w:rFonts w:ascii="Nimbus CEZ" w:hAnsi="Nimbus CEZ" w:cs="Arial"/>
                <w:b/>
                <w:sz w:val="20"/>
              </w:rPr>
              <w:t xml:space="preserve"> </w:t>
            </w:r>
          </w:p>
          <w:p w14:paraId="59B6E72D" w14:textId="77777777" w:rsidR="004D133C" w:rsidRDefault="004D133C" w:rsidP="00BB4FC8">
            <w:pPr>
              <w:jc w:val="center"/>
              <w:rPr>
                <w:rFonts w:ascii="Nimbus CEZ" w:hAnsi="Nimbus CEZ" w:cs="Arial"/>
                <w:b/>
                <w:sz w:val="20"/>
              </w:rPr>
            </w:pPr>
            <w:r>
              <w:rPr>
                <w:rFonts w:ascii="Nimbus CEZ" w:hAnsi="Nimbus CEZ" w:cs="Arial"/>
                <w:b/>
                <w:sz w:val="20"/>
              </w:rPr>
              <w:t>pro odběratele tepelné energie</w:t>
            </w:r>
          </w:p>
          <w:p w14:paraId="58CF8A4E" w14:textId="77777777" w:rsidR="004D133C" w:rsidRDefault="004D133C" w:rsidP="00BB4FC8">
            <w:pPr>
              <w:jc w:val="center"/>
              <w:rPr>
                <w:rFonts w:ascii="Nimbus CEZ" w:hAnsi="Nimbus CEZ" w:cs="Arial"/>
                <w:b/>
                <w:sz w:val="20"/>
                <w:szCs w:val="22"/>
              </w:rPr>
            </w:pPr>
            <w:r>
              <w:rPr>
                <w:rFonts w:ascii="Nimbus CEZ" w:hAnsi="Nimbus CEZ" w:cs="Arial"/>
                <w:b/>
                <w:sz w:val="20"/>
              </w:rPr>
              <w:t xml:space="preserve">  </w:t>
            </w:r>
          </w:p>
          <w:p w14:paraId="2CF9ADD3" w14:textId="77777777" w:rsidR="004D133C" w:rsidRDefault="004D133C" w:rsidP="00BB4FC8">
            <w:pPr>
              <w:shd w:val="clear" w:color="auto" w:fill="E6E6E6"/>
              <w:ind w:left="197" w:right="427"/>
              <w:rPr>
                <w:rFonts w:ascii="Nimbus CEZ" w:hAnsi="Nimbus CEZ" w:cs="Arial"/>
                <w:sz w:val="20"/>
                <w:szCs w:val="20"/>
              </w:rPr>
            </w:pPr>
            <w:r>
              <w:rPr>
                <w:rFonts w:ascii="Nimbus CEZ" w:hAnsi="Nimbus CEZ" w:cs="Arial"/>
                <w:sz w:val="20"/>
              </w:rPr>
              <w:t xml:space="preserve">odběratel: </w:t>
            </w:r>
            <w:r>
              <w:rPr>
                <w:rFonts w:ascii="Nimbus CEZ" w:hAnsi="Nimbus CEZ" w:cs="Arial"/>
                <w:b/>
                <w:sz w:val="20"/>
              </w:rPr>
              <w:t>Okresní soud v Sokolově, K. H. Borovského 57, 356 01 Sokolov</w:t>
            </w:r>
          </w:p>
          <w:p w14:paraId="018E492E" w14:textId="77777777" w:rsidR="004D133C" w:rsidRDefault="004D133C" w:rsidP="00BB4FC8">
            <w:pPr>
              <w:ind w:left="197" w:right="-1134"/>
              <w:rPr>
                <w:rFonts w:ascii="Nimbus CEZ" w:hAnsi="Nimbus CEZ" w:cs="Arial"/>
                <w:b/>
                <w:i/>
                <w:sz w:val="20"/>
              </w:rPr>
            </w:pPr>
            <w:r>
              <w:rPr>
                <w:rFonts w:ascii="Nimbus CEZ" w:hAnsi="Nimbus CEZ" w:cs="Arial"/>
                <w:sz w:val="20"/>
              </w:rPr>
              <w:t xml:space="preserve">odběrné místo: </w:t>
            </w:r>
            <w:r>
              <w:rPr>
                <w:rFonts w:ascii="Nimbus CEZ" w:hAnsi="Nimbus CEZ" w:cs="Arial"/>
                <w:b/>
                <w:sz w:val="20"/>
              </w:rPr>
              <w:t xml:space="preserve">100237191 VS 44 Okresní soud  </w:t>
            </w:r>
            <w:r>
              <w:rPr>
                <w:rFonts w:ascii="Nimbus CEZ" w:hAnsi="Nimbus CEZ" w:cs="Arial"/>
                <w:b/>
                <w:sz w:val="20"/>
              </w:rPr>
              <w:br/>
              <w:t>platná od 01. 01. 2023</w:t>
            </w:r>
          </w:p>
          <w:p w14:paraId="4A9A0ECD" w14:textId="77777777" w:rsidR="004D133C" w:rsidRDefault="004D133C" w:rsidP="00BB4FC8">
            <w:pPr>
              <w:tabs>
                <w:tab w:val="left" w:pos="426"/>
              </w:tabs>
              <w:ind w:left="142" w:right="794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Arial"/>
                <w:sz w:val="20"/>
              </w:rPr>
              <w:t xml:space="preserve"> </w:t>
            </w:r>
          </w:p>
          <w:p w14:paraId="1336A4F2" w14:textId="77777777" w:rsidR="004D133C" w:rsidRDefault="004D133C" w:rsidP="00BB4FC8">
            <w:pPr>
              <w:tabs>
                <w:tab w:val="left" w:pos="426"/>
              </w:tabs>
              <w:ind w:left="142" w:right="794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Arial"/>
                <w:sz w:val="20"/>
              </w:rPr>
              <w:t xml:space="preserve">Cena za dodávku tepelné energie je určena kalkulací. Typ sazby ETI PARA PRIM  </w:t>
            </w:r>
          </w:p>
          <w:p w14:paraId="32628805" w14:textId="77777777" w:rsidR="004D133C" w:rsidRDefault="004D133C" w:rsidP="00BB4FC8">
            <w:pPr>
              <w:tabs>
                <w:tab w:val="left" w:pos="426"/>
                <w:tab w:val="left" w:pos="3686"/>
                <w:tab w:val="left" w:pos="4820"/>
              </w:tabs>
              <w:ind w:left="197" w:right="794"/>
              <w:rPr>
                <w:rFonts w:ascii="Nimbus CEZ" w:hAnsi="Nimbus CEZ" w:cs="Arial"/>
                <w:b/>
                <w:sz w:val="20"/>
              </w:rPr>
            </w:pPr>
            <w:r>
              <w:rPr>
                <w:rFonts w:ascii="Nimbus CEZ" w:hAnsi="Nimbus CEZ" w:cs="Arial"/>
                <w:b/>
                <w:sz w:val="20"/>
              </w:rPr>
              <w:t xml:space="preserve">1.  </w:t>
            </w:r>
            <w:r>
              <w:rPr>
                <w:rFonts w:ascii="Nimbus CEZ" w:hAnsi="Nimbus CEZ" w:cs="Arial"/>
                <w:b/>
                <w:spacing w:val="22"/>
                <w:sz w:val="20"/>
              </w:rPr>
              <w:t>Cena tepelné energie</w:t>
            </w:r>
            <w:r>
              <w:rPr>
                <w:rFonts w:ascii="Nimbus CEZ" w:hAnsi="Nimbus CEZ" w:cs="Arial"/>
                <w:b/>
                <w:sz w:val="20"/>
              </w:rPr>
              <w:t xml:space="preserve"> </w:t>
            </w:r>
            <w:r>
              <w:rPr>
                <w:rFonts w:ascii="Nimbus CEZ" w:hAnsi="Nimbus CEZ" w:cs="Arial"/>
                <w:sz w:val="20"/>
              </w:rPr>
              <w:t>při odběru z primární sítě činí:</w:t>
            </w:r>
          </w:p>
          <w:p w14:paraId="0908F2D3" w14:textId="77777777" w:rsidR="004D133C" w:rsidRDefault="004D133C" w:rsidP="00BB4FC8">
            <w:pPr>
              <w:tabs>
                <w:tab w:val="left" w:pos="-1701"/>
                <w:tab w:val="decimal" w:pos="284"/>
                <w:tab w:val="right" w:pos="4678"/>
                <w:tab w:val="left" w:pos="4820"/>
                <w:tab w:val="left" w:pos="10632"/>
                <w:tab w:val="left" w:pos="10773"/>
              </w:tabs>
              <w:ind w:left="481" w:right="-2"/>
              <w:jc w:val="both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Arial"/>
                <w:sz w:val="20"/>
              </w:rPr>
              <w:t xml:space="preserve">základní cena                                          </w:t>
            </w:r>
            <w:r>
              <w:rPr>
                <w:rFonts w:ascii="Nimbus CEZ" w:hAnsi="Nimbus CEZ" w:cs="Arial"/>
                <w:sz w:val="20"/>
              </w:rPr>
              <w:tab/>
              <w:t>510,55</w:t>
            </w:r>
            <w:r>
              <w:rPr>
                <w:rFonts w:ascii="Nimbus CEZ" w:hAnsi="Nimbus CEZ" w:cs="Arial"/>
                <w:b/>
                <w:sz w:val="20"/>
              </w:rPr>
              <w:tab/>
            </w:r>
            <w:r>
              <w:rPr>
                <w:rFonts w:ascii="Nimbus CEZ" w:hAnsi="Nimbus CEZ" w:cs="Arial"/>
                <w:bCs/>
                <w:sz w:val="20"/>
              </w:rPr>
              <w:t>K</w:t>
            </w:r>
            <w:r>
              <w:rPr>
                <w:rFonts w:ascii="Nimbus CEZ" w:hAnsi="Nimbus CEZ" w:cs="Arial"/>
                <w:sz w:val="20"/>
              </w:rPr>
              <w:t>č/GJ</w:t>
            </w:r>
          </w:p>
          <w:p w14:paraId="3758354F" w14:textId="77777777" w:rsidR="004D133C" w:rsidRDefault="004D133C" w:rsidP="00BB4FC8">
            <w:pPr>
              <w:tabs>
                <w:tab w:val="left" w:pos="-1701"/>
                <w:tab w:val="decimal" w:pos="284"/>
                <w:tab w:val="right" w:pos="4678"/>
                <w:tab w:val="left" w:pos="4820"/>
                <w:tab w:val="left" w:pos="10632"/>
                <w:tab w:val="left" w:pos="10773"/>
              </w:tabs>
              <w:ind w:left="481" w:right="-2"/>
              <w:jc w:val="both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Nimbus CEZ"/>
                <w:sz w:val="20"/>
              </w:rPr>
              <w:t xml:space="preserve">10,0 </w:t>
            </w:r>
            <w:r>
              <w:rPr>
                <w:rFonts w:ascii="Nimbus CEZ" w:hAnsi="Nimbus CEZ" w:cs="Arial"/>
                <w:sz w:val="20"/>
              </w:rPr>
              <w:t xml:space="preserve">% daň z přidané hodnoty   </w:t>
            </w:r>
            <w:r>
              <w:rPr>
                <w:rFonts w:ascii="Nimbus CEZ" w:hAnsi="Nimbus CEZ" w:cs="Arial"/>
                <w:sz w:val="20"/>
              </w:rPr>
              <w:tab/>
              <w:t xml:space="preserve">51,06  </w:t>
            </w:r>
            <w:r>
              <w:rPr>
                <w:rFonts w:ascii="Nimbus CEZ" w:hAnsi="Nimbus CEZ" w:cs="Arial"/>
                <w:sz w:val="20"/>
              </w:rPr>
              <w:tab/>
              <w:t>Kč/GJ</w:t>
            </w:r>
          </w:p>
          <w:p w14:paraId="4E01FB6E" w14:textId="77777777" w:rsidR="004D133C" w:rsidRDefault="004D133C" w:rsidP="00BB4FC8">
            <w:pPr>
              <w:tabs>
                <w:tab w:val="left" w:pos="3686"/>
                <w:tab w:val="left" w:pos="4820"/>
              </w:tabs>
              <w:ind w:left="481" w:right="839"/>
              <w:rPr>
                <w:rFonts w:ascii="Nimbus CEZ" w:hAnsi="Nimbus CEZ" w:cs="Arial"/>
                <w:sz w:val="16"/>
                <w:szCs w:val="16"/>
              </w:rPr>
            </w:pPr>
            <w:r>
              <w:rPr>
                <w:rFonts w:ascii="Nimbus CEZ" w:hAnsi="Nimbus CEZ" w:cs="Arial"/>
                <w:sz w:val="16"/>
                <w:szCs w:val="16"/>
              </w:rPr>
              <w:tab/>
              <w:t xml:space="preserve">-------------------------------------------------- </w:t>
            </w:r>
          </w:p>
          <w:p w14:paraId="3D177BBC" w14:textId="77777777" w:rsidR="004D133C" w:rsidRDefault="004D133C" w:rsidP="00BB4FC8">
            <w:pPr>
              <w:shd w:val="clear" w:color="auto" w:fill="E6E6E6"/>
              <w:tabs>
                <w:tab w:val="right" w:pos="4678"/>
                <w:tab w:val="left" w:pos="4820"/>
              </w:tabs>
              <w:ind w:left="197" w:right="427" w:firstLine="284"/>
              <w:rPr>
                <w:rFonts w:ascii="Nimbus CEZ" w:hAnsi="Nimbus CEZ" w:cs="Arial"/>
                <w:sz w:val="20"/>
                <w:szCs w:val="20"/>
              </w:rPr>
            </w:pPr>
            <w:r>
              <w:rPr>
                <w:rFonts w:ascii="Nimbus CEZ" w:hAnsi="Nimbus CEZ" w:cs="Arial"/>
                <w:sz w:val="20"/>
              </w:rPr>
              <w:t xml:space="preserve">cena celkem </w:t>
            </w:r>
            <w:r>
              <w:rPr>
                <w:rFonts w:ascii="Nimbus CEZ" w:hAnsi="Nimbus CEZ" w:cs="Arial"/>
                <w:sz w:val="20"/>
              </w:rPr>
              <w:tab/>
            </w:r>
            <w:r w:rsidRPr="00E71B68">
              <w:rPr>
                <w:rFonts w:ascii="Nimbus CEZ" w:hAnsi="Nimbus CEZ" w:cs="Arial"/>
                <w:b/>
                <w:bCs/>
                <w:sz w:val="20"/>
              </w:rPr>
              <w:t>561,61</w:t>
            </w:r>
            <w:r>
              <w:rPr>
                <w:rFonts w:ascii="Nimbus CEZ" w:hAnsi="Nimbus CEZ" w:cs="Arial"/>
                <w:b/>
                <w:sz w:val="20"/>
              </w:rPr>
              <w:tab/>
              <w:t>Kč/GJ</w:t>
            </w:r>
          </w:p>
          <w:p w14:paraId="48F2ADCB" w14:textId="77777777" w:rsidR="004D133C" w:rsidRDefault="004D133C" w:rsidP="00BB4FC8">
            <w:pPr>
              <w:tabs>
                <w:tab w:val="left" w:pos="3686"/>
                <w:tab w:val="left" w:pos="4820"/>
              </w:tabs>
              <w:ind w:left="197" w:right="839"/>
              <w:rPr>
                <w:rFonts w:ascii="Nimbus CEZ" w:hAnsi="Nimbus CEZ" w:cs="Arial"/>
                <w:b/>
                <w:sz w:val="20"/>
              </w:rPr>
            </w:pPr>
          </w:p>
          <w:p w14:paraId="21021E10" w14:textId="77777777" w:rsidR="004D133C" w:rsidRDefault="004D133C" w:rsidP="00BB4FC8">
            <w:pPr>
              <w:tabs>
                <w:tab w:val="left" w:pos="3686"/>
                <w:tab w:val="left" w:pos="4820"/>
              </w:tabs>
              <w:ind w:left="197" w:right="839"/>
              <w:rPr>
                <w:rFonts w:ascii="Nimbus CEZ" w:hAnsi="Nimbus CEZ" w:cs="Arial"/>
                <w:b/>
                <w:sz w:val="20"/>
              </w:rPr>
            </w:pPr>
            <w:r>
              <w:rPr>
                <w:rFonts w:ascii="Nimbus CEZ" w:hAnsi="Nimbus CEZ" w:cs="Arial"/>
                <w:b/>
                <w:sz w:val="20"/>
              </w:rPr>
              <w:t xml:space="preserve">2.  </w:t>
            </w:r>
            <w:r>
              <w:rPr>
                <w:rFonts w:ascii="Nimbus CEZ" w:hAnsi="Nimbus CEZ" w:cs="Arial"/>
                <w:b/>
                <w:spacing w:val="22"/>
                <w:sz w:val="20"/>
              </w:rPr>
              <w:t>Cena při odběru teplonosného média</w:t>
            </w:r>
          </w:p>
          <w:p w14:paraId="69481311" w14:textId="77777777" w:rsidR="004D133C" w:rsidRDefault="004D133C" w:rsidP="00BB4FC8">
            <w:pPr>
              <w:pStyle w:val="Textvbloku"/>
              <w:tabs>
                <w:tab w:val="left" w:pos="8222"/>
              </w:tabs>
              <w:ind w:left="481" w:right="427"/>
            </w:pPr>
            <w:r>
              <w:t>Při odběru teplonosného média je cena média včetně tepelné energie v něm obsaženém stanovena kalkulací a činí:</w:t>
            </w:r>
          </w:p>
          <w:p w14:paraId="0D10696B" w14:textId="77777777" w:rsidR="004D133C" w:rsidRDefault="004D133C" w:rsidP="00BB4FC8">
            <w:pPr>
              <w:tabs>
                <w:tab w:val="left" w:pos="-1701"/>
                <w:tab w:val="decimal" w:pos="284"/>
                <w:tab w:val="right" w:pos="4678"/>
                <w:tab w:val="left" w:pos="4820"/>
                <w:tab w:val="left" w:pos="10632"/>
                <w:tab w:val="left" w:pos="10773"/>
              </w:tabs>
              <w:ind w:left="481" w:right="-2"/>
              <w:jc w:val="both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Arial"/>
                <w:sz w:val="20"/>
              </w:rPr>
              <w:t xml:space="preserve">základní cena </w:t>
            </w:r>
            <w:r>
              <w:rPr>
                <w:rFonts w:ascii="Nimbus CEZ" w:hAnsi="Nimbus CEZ" w:cs="Arial"/>
                <w:sz w:val="20"/>
              </w:rPr>
              <w:tab/>
              <w:t>117,85</w:t>
            </w:r>
            <w:r>
              <w:rPr>
                <w:rFonts w:ascii="Nimbus CEZ" w:hAnsi="Nimbus CEZ" w:cs="Arial"/>
                <w:sz w:val="20"/>
              </w:rPr>
              <w:tab/>
              <w:t>Kč/t</w:t>
            </w:r>
          </w:p>
          <w:p w14:paraId="49A8D31C" w14:textId="77777777" w:rsidR="004D133C" w:rsidRDefault="004D133C" w:rsidP="00BB4FC8">
            <w:pPr>
              <w:tabs>
                <w:tab w:val="left" w:pos="-1701"/>
                <w:tab w:val="decimal" w:pos="284"/>
                <w:tab w:val="right" w:pos="4678"/>
                <w:tab w:val="left" w:pos="4820"/>
                <w:tab w:val="left" w:pos="10632"/>
                <w:tab w:val="left" w:pos="10773"/>
              </w:tabs>
              <w:ind w:left="481" w:right="-2"/>
              <w:jc w:val="both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Nimbus CEZ"/>
                <w:sz w:val="20"/>
              </w:rPr>
              <w:t>10,0</w:t>
            </w:r>
            <w:r>
              <w:rPr>
                <w:rFonts w:ascii="Nimbus CEZ" w:hAnsi="Nimbus CEZ" w:cs="Arial"/>
                <w:sz w:val="20"/>
              </w:rPr>
              <w:t xml:space="preserve"> % daň z přidané hodnoty   </w:t>
            </w:r>
            <w:r>
              <w:rPr>
                <w:rFonts w:ascii="Nimbus CEZ" w:hAnsi="Nimbus CEZ" w:cs="Arial"/>
                <w:sz w:val="20"/>
              </w:rPr>
              <w:tab/>
              <w:t>11,79</w:t>
            </w:r>
            <w:r>
              <w:rPr>
                <w:rFonts w:ascii="Nimbus CEZ" w:hAnsi="Nimbus CEZ" w:cs="Arial"/>
                <w:sz w:val="20"/>
              </w:rPr>
              <w:tab/>
              <w:t>Kč/t</w:t>
            </w:r>
          </w:p>
          <w:p w14:paraId="6CB7BD93" w14:textId="77777777" w:rsidR="004D133C" w:rsidRDefault="004D133C" w:rsidP="00BB4FC8">
            <w:pPr>
              <w:tabs>
                <w:tab w:val="left" w:pos="3686"/>
                <w:tab w:val="left" w:pos="4820"/>
              </w:tabs>
              <w:ind w:left="481" w:right="839"/>
              <w:rPr>
                <w:rFonts w:ascii="Nimbus CEZ" w:hAnsi="Nimbus CEZ" w:cs="Arial"/>
                <w:sz w:val="16"/>
                <w:szCs w:val="16"/>
              </w:rPr>
            </w:pPr>
            <w:r>
              <w:rPr>
                <w:rFonts w:ascii="Nimbus CEZ" w:hAnsi="Nimbus CEZ" w:cs="Arial"/>
                <w:sz w:val="16"/>
                <w:szCs w:val="16"/>
              </w:rPr>
              <w:tab/>
              <w:t xml:space="preserve">-------------------------------------------------- </w:t>
            </w:r>
          </w:p>
          <w:p w14:paraId="5FF09986" w14:textId="77777777" w:rsidR="004D133C" w:rsidRDefault="004D133C" w:rsidP="00BB4FC8">
            <w:pPr>
              <w:shd w:val="clear" w:color="auto" w:fill="E6E6E6"/>
              <w:tabs>
                <w:tab w:val="right" w:pos="4678"/>
                <w:tab w:val="left" w:pos="4820"/>
              </w:tabs>
              <w:ind w:left="197" w:right="427" w:firstLine="284"/>
              <w:rPr>
                <w:rFonts w:ascii="Nimbus CEZ" w:hAnsi="Nimbus CEZ" w:cs="Arial"/>
                <w:b/>
                <w:sz w:val="20"/>
                <w:szCs w:val="20"/>
              </w:rPr>
            </w:pPr>
            <w:r>
              <w:rPr>
                <w:rFonts w:ascii="Nimbus CEZ" w:hAnsi="Nimbus CEZ" w:cs="Arial"/>
                <w:sz w:val="20"/>
              </w:rPr>
              <w:t xml:space="preserve">cena celkem                                        </w:t>
            </w:r>
            <w:r>
              <w:rPr>
                <w:rFonts w:ascii="Nimbus CEZ" w:hAnsi="Nimbus CEZ" w:cs="Arial"/>
                <w:sz w:val="20"/>
              </w:rPr>
              <w:tab/>
            </w:r>
            <w:r>
              <w:rPr>
                <w:rFonts w:ascii="Nimbus CEZ" w:hAnsi="Nimbus CEZ" w:cs="Arial"/>
                <w:b/>
                <w:sz w:val="20"/>
              </w:rPr>
              <w:t xml:space="preserve">129,64 </w:t>
            </w:r>
            <w:r>
              <w:rPr>
                <w:rFonts w:ascii="Nimbus CEZ" w:hAnsi="Nimbus CEZ" w:cs="Arial"/>
                <w:b/>
                <w:sz w:val="20"/>
              </w:rPr>
              <w:tab/>
              <w:t>Kč/t</w:t>
            </w:r>
          </w:p>
          <w:p w14:paraId="2C3EA3E4" w14:textId="77777777" w:rsidR="004D133C" w:rsidRDefault="004D133C" w:rsidP="00BB4FC8">
            <w:pPr>
              <w:ind w:left="197" w:right="839"/>
              <w:rPr>
                <w:rFonts w:ascii="Nimbus CEZ" w:hAnsi="Nimbus CEZ" w:cs="Arial"/>
                <w:b/>
                <w:sz w:val="20"/>
              </w:rPr>
            </w:pPr>
          </w:p>
          <w:p w14:paraId="7A221F1E" w14:textId="77777777" w:rsidR="004D133C" w:rsidRDefault="004D133C" w:rsidP="00BB4FC8">
            <w:pPr>
              <w:ind w:left="197" w:right="839"/>
              <w:rPr>
                <w:rFonts w:ascii="Nimbus CEZ" w:hAnsi="Nimbus CEZ" w:cs="Arial"/>
                <w:b/>
                <w:sz w:val="20"/>
              </w:rPr>
            </w:pPr>
            <w:r w:rsidRPr="00843474">
              <w:rPr>
                <w:rFonts w:ascii="Nimbus CEZ" w:hAnsi="Nimbus CEZ" w:cs="Arial"/>
                <w:b/>
                <w:sz w:val="20"/>
              </w:rPr>
              <w:t>3.</w:t>
            </w:r>
            <w:r>
              <w:rPr>
                <w:rFonts w:ascii="Nimbus CEZ" w:hAnsi="Nimbus CEZ" w:cs="Arial"/>
                <w:b/>
                <w:sz w:val="20"/>
              </w:rPr>
              <w:t xml:space="preserve">  </w:t>
            </w:r>
            <w:r>
              <w:rPr>
                <w:rFonts w:ascii="Nimbus CEZ" w:hAnsi="Nimbus CEZ" w:cs="Arial"/>
                <w:b/>
                <w:spacing w:val="22"/>
                <w:sz w:val="20"/>
              </w:rPr>
              <w:t>Cenové změny</w:t>
            </w:r>
          </w:p>
          <w:p w14:paraId="0A10B212" w14:textId="77777777" w:rsidR="004D133C" w:rsidRDefault="004D133C" w:rsidP="00BB4FC8">
            <w:pPr>
              <w:tabs>
                <w:tab w:val="left" w:pos="8505"/>
              </w:tabs>
              <w:ind w:left="481" w:right="427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Arial"/>
                <w:sz w:val="20"/>
              </w:rPr>
              <w:t>Změny ceny tepelné energie budou provedeny v souladu s předpisy ERÚ a s příslušnými ustanoveními této smlouvy.</w:t>
            </w:r>
            <w:r>
              <w:rPr>
                <w:rFonts w:ascii="Nimbus CEZ" w:hAnsi="Nimbus CEZ" w:cs="Arial"/>
                <w:sz w:val="20"/>
              </w:rPr>
              <w:br/>
            </w:r>
          </w:p>
          <w:p w14:paraId="3D8C0CDE" w14:textId="77777777" w:rsidR="004D133C" w:rsidRDefault="004D133C" w:rsidP="00BB4FC8">
            <w:pPr>
              <w:ind w:left="197" w:right="839"/>
              <w:rPr>
                <w:rFonts w:ascii="Nimbus CEZ" w:hAnsi="Nimbus CEZ" w:cs="Arial"/>
                <w:b/>
                <w:sz w:val="20"/>
              </w:rPr>
            </w:pPr>
            <w:r w:rsidRPr="00843474">
              <w:rPr>
                <w:rFonts w:ascii="Nimbus CEZ" w:hAnsi="Nimbus CEZ" w:cs="Arial"/>
                <w:b/>
                <w:sz w:val="20"/>
              </w:rPr>
              <w:t>4.</w:t>
            </w:r>
            <w:r>
              <w:rPr>
                <w:rFonts w:ascii="Nimbus CEZ" w:hAnsi="Nimbus CEZ" w:cs="Arial"/>
                <w:b/>
                <w:sz w:val="20"/>
              </w:rPr>
              <w:t xml:space="preserve">  </w:t>
            </w:r>
            <w:r>
              <w:rPr>
                <w:rFonts w:ascii="Nimbus CEZ" w:hAnsi="Nimbus CEZ" w:cs="Arial"/>
                <w:b/>
                <w:spacing w:val="22"/>
                <w:sz w:val="20"/>
              </w:rPr>
              <w:t>Závěrečné ustanovení</w:t>
            </w:r>
          </w:p>
          <w:p w14:paraId="40D6808F" w14:textId="77777777" w:rsidR="004D133C" w:rsidRDefault="004D133C" w:rsidP="00BB4FC8">
            <w:pPr>
              <w:tabs>
                <w:tab w:val="left" w:pos="8505"/>
              </w:tabs>
              <w:ind w:left="481" w:right="42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Nimbus CEZ" w:hAnsi="Nimbus CEZ" w:cs="Arial"/>
                <w:sz w:val="20"/>
              </w:rPr>
              <w:t>Odběratel, který je současně distributorem odebírané tepelné energie pro další odběratele, si je vědom povinnosti dodržet ustanovení vyhlášky č. 194/2015 Sb. a platného výměru ERÚ.</w:t>
            </w:r>
          </w:p>
          <w:p w14:paraId="000EB49C" w14:textId="77777777" w:rsidR="004D133C" w:rsidRDefault="004D133C" w:rsidP="00BB4FC8">
            <w:pPr>
              <w:pStyle w:val="NormlnNimbusCEZ"/>
              <w:tabs>
                <w:tab w:val="center" w:pos="-1560"/>
                <w:tab w:val="left" w:pos="5529"/>
              </w:tabs>
              <w:rPr>
                <w:rFonts w:cs="Arial"/>
                <w:sz w:val="20"/>
                <w:szCs w:val="20"/>
              </w:rPr>
            </w:pPr>
          </w:p>
          <w:p w14:paraId="4F338329" w14:textId="77777777" w:rsidR="004D133C" w:rsidRDefault="004D133C" w:rsidP="00BB4FC8">
            <w:pPr>
              <w:pStyle w:val="NormlnNimbusCEZ"/>
              <w:tabs>
                <w:tab w:val="center" w:pos="-1560"/>
                <w:tab w:val="left" w:pos="5529"/>
              </w:tabs>
              <w:ind w:left="426"/>
              <w:rPr>
                <w:rFonts w:cs="Arial"/>
                <w:sz w:val="20"/>
                <w:szCs w:val="20"/>
              </w:rPr>
            </w:pPr>
          </w:p>
          <w:p w14:paraId="063BA879" w14:textId="77777777" w:rsidR="004D133C" w:rsidRDefault="004D133C" w:rsidP="00BB4FC8">
            <w:pPr>
              <w:pStyle w:val="NormlnNimbusCEZ"/>
              <w:tabs>
                <w:tab w:val="center" w:pos="-1560"/>
                <w:tab w:val="left" w:pos="5529"/>
              </w:tabs>
              <w:ind w:left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Dodavatel:                                                       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         Odběratel:</w:t>
            </w:r>
          </w:p>
          <w:p w14:paraId="39BACC46" w14:textId="77777777" w:rsidR="004D133C" w:rsidRDefault="004D133C" w:rsidP="00BB4FC8">
            <w:pPr>
              <w:pStyle w:val="NormlnNimbusCEZ"/>
              <w:tabs>
                <w:tab w:val="center" w:pos="-1560"/>
                <w:tab w:val="left" w:pos="5529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 xml:space="preserve">V Tisové </w:t>
            </w:r>
            <w:r>
              <w:rPr>
                <w:sz w:val="20"/>
              </w:rPr>
              <w:tab/>
              <w:t>V Sokolově</w:t>
            </w:r>
          </w:p>
          <w:p w14:paraId="4E3B7A9C" w14:textId="014B47AA" w:rsidR="004D133C" w:rsidRDefault="004D133C" w:rsidP="00BB4FC8">
            <w:pPr>
              <w:pStyle w:val="NormlnNimbusCEZ"/>
              <w:tabs>
                <w:tab w:val="center" w:pos="-1560"/>
                <w:tab w:val="left" w:pos="5529"/>
              </w:tabs>
              <w:ind w:left="426"/>
              <w:rPr>
                <w:sz w:val="20"/>
              </w:rPr>
            </w:pPr>
            <w:r>
              <w:rPr>
                <w:sz w:val="20"/>
              </w:rPr>
              <w:t>Dne: 5.12.2022</w:t>
            </w:r>
            <w:r>
              <w:rPr>
                <w:sz w:val="20"/>
              </w:rPr>
              <w:tab/>
              <w:t>Dne:</w:t>
            </w:r>
            <w:r w:rsidR="00661167">
              <w:rPr>
                <w:sz w:val="20"/>
              </w:rPr>
              <w:t xml:space="preserve"> 9.12.2022</w:t>
            </w:r>
            <w:bookmarkStart w:id="0" w:name="_GoBack"/>
            <w:bookmarkEnd w:id="0"/>
          </w:p>
          <w:p w14:paraId="5ADBA310" w14:textId="77777777" w:rsidR="004D133C" w:rsidRDefault="004D133C" w:rsidP="00BB4FC8">
            <w:pPr>
              <w:tabs>
                <w:tab w:val="left" w:pos="510"/>
                <w:tab w:val="left" w:pos="5529"/>
              </w:tabs>
              <w:ind w:left="426"/>
              <w:jc w:val="both"/>
              <w:rPr>
                <w:rFonts w:ascii="Nimbus CEZ" w:hAnsi="Nimbus CEZ"/>
                <w:sz w:val="20"/>
              </w:rPr>
            </w:pPr>
          </w:p>
          <w:p w14:paraId="370B8856" w14:textId="77777777" w:rsidR="004D133C" w:rsidRDefault="004D133C" w:rsidP="00BB4FC8">
            <w:pPr>
              <w:tabs>
                <w:tab w:val="left" w:pos="510"/>
              </w:tabs>
              <w:ind w:left="426"/>
              <w:jc w:val="both"/>
              <w:rPr>
                <w:rFonts w:ascii="Nimbus CEZ" w:hAnsi="Nimbus CEZ"/>
                <w:sz w:val="20"/>
              </w:rPr>
            </w:pPr>
          </w:p>
          <w:p w14:paraId="507A17D1" w14:textId="77777777" w:rsidR="004D133C" w:rsidRDefault="004D133C" w:rsidP="00BB4FC8">
            <w:pPr>
              <w:tabs>
                <w:tab w:val="left" w:pos="510"/>
              </w:tabs>
              <w:jc w:val="both"/>
              <w:rPr>
                <w:rFonts w:ascii="Nimbus CEZ" w:hAnsi="Nimbus CEZ"/>
                <w:sz w:val="20"/>
              </w:rPr>
            </w:pPr>
          </w:p>
          <w:p w14:paraId="76F09F30" w14:textId="77777777" w:rsidR="004D133C" w:rsidRDefault="004D133C" w:rsidP="00BB4FC8">
            <w:pPr>
              <w:tabs>
                <w:tab w:val="left" w:pos="5530"/>
              </w:tabs>
              <w:ind w:left="426"/>
              <w:rPr>
                <w:rFonts w:ascii="Nimbus CEZ" w:hAnsi="Nimbus CEZ"/>
                <w:sz w:val="20"/>
              </w:rPr>
            </w:pPr>
            <w:r>
              <w:rPr>
                <w:rFonts w:ascii="Nimbus CEZ" w:hAnsi="Nimbus CEZ"/>
                <w:sz w:val="20"/>
              </w:rPr>
              <w:t xml:space="preserve">                                                                                                                                                       .                                                               ..…………………………………..                                            ………………………………….</w:t>
            </w:r>
          </w:p>
          <w:p w14:paraId="0817F4B8" w14:textId="77777777" w:rsidR="004D133C" w:rsidRPr="006C0027" w:rsidRDefault="004D133C" w:rsidP="00BB4FC8">
            <w:pPr>
              <w:tabs>
                <w:tab w:val="left" w:pos="5529"/>
              </w:tabs>
              <w:ind w:left="426"/>
              <w:rPr>
                <w:rFonts w:ascii="Nimbus CEZ" w:hAnsi="Nimbus CEZ" w:cs="Arial"/>
                <w:sz w:val="20"/>
              </w:rPr>
            </w:pPr>
            <w:r>
              <w:rPr>
                <w:rFonts w:ascii="Nimbus CEZ" w:hAnsi="Nimbus CEZ" w:cs="Arial"/>
                <w:sz w:val="20"/>
              </w:rPr>
              <w:t xml:space="preserve">Ing. Pavel Homola                                                                      JUDr. Radoslav Krůšek </w:t>
            </w:r>
          </w:p>
          <w:p w14:paraId="1A13E920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předseda představenstva                                                             předseda Okresního soudu v Sokolově</w:t>
            </w:r>
          </w:p>
          <w:p w14:paraId="08E31F89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Elektrárna Tisová, a.s.                                                                  </w:t>
            </w:r>
          </w:p>
          <w:p w14:paraId="0C3D7302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14:paraId="2C71DBF5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</w:p>
          <w:p w14:paraId="271023BE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</w:p>
          <w:p w14:paraId="3137EC6B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</w:p>
          <w:p w14:paraId="497587C8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</w:p>
          <w:p w14:paraId="3CE6E55D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…………………………………….</w:t>
            </w:r>
          </w:p>
          <w:p w14:paraId="00F9F53C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Marcel Friml</w:t>
            </w:r>
          </w:p>
          <w:p w14:paraId="1041A71D" w14:textId="77777777" w:rsidR="004D133C" w:rsidRDefault="004D133C" w:rsidP="00BB4FC8">
            <w:pPr>
              <w:pStyle w:val="NormlnNimbusCEZ"/>
              <w:tabs>
                <w:tab w:val="center" w:pos="708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místopředseda představenstva</w:t>
            </w:r>
          </w:p>
          <w:p w14:paraId="41B4AC5F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Elektrárna Tisová, a.s.</w:t>
            </w:r>
          </w:p>
          <w:p w14:paraId="4B459DA1" w14:textId="77777777" w:rsidR="004D133C" w:rsidRDefault="004D133C" w:rsidP="00BB4FC8">
            <w:pPr>
              <w:pStyle w:val="NormlnNimbusCEZ"/>
              <w:tabs>
                <w:tab w:val="center" w:pos="7088"/>
              </w:tabs>
              <w:ind w:left="4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48BCF4DE" w14:textId="77777777" w:rsidR="004D133C" w:rsidRDefault="004D133C" w:rsidP="00BB4FC8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197"/>
              <w:rPr>
                <w:rFonts w:ascii="Nimbus CEZ" w:hAnsi="Nimbus CEZ"/>
                <w:b/>
                <w:bCs/>
              </w:rPr>
            </w:pPr>
            <w:r>
              <w:rPr>
                <w:rFonts w:ascii="Nimbus CEZ" w:hAnsi="Nimbus CEZ" w:cs="Arial"/>
                <w:sz w:val="20"/>
              </w:rPr>
              <w:t xml:space="preserve"> </w:t>
            </w:r>
          </w:p>
        </w:tc>
      </w:tr>
    </w:tbl>
    <w:p w14:paraId="11605D1D" w14:textId="77777777" w:rsidR="00A74D10" w:rsidRDefault="00A74D10"/>
    <w:sectPr w:rsidR="00A7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CEZ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38"/>
    <w:rsid w:val="0015001A"/>
    <w:rsid w:val="004D133C"/>
    <w:rsid w:val="00661167"/>
    <w:rsid w:val="00A74D10"/>
    <w:rsid w:val="00E02738"/>
    <w:rsid w:val="00F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BD38"/>
  <w15:chartTrackingRefBased/>
  <w15:docId w15:val="{C48E5CAE-5CEB-4B55-881F-548CDF6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33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D13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D133C"/>
    <w:pPr>
      <w:tabs>
        <w:tab w:val="left" w:pos="3686"/>
        <w:tab w:val="left" w:pos="4820"/>
      </w:tabs>
      <w:ind w:left="284" w:right="839"/>
      <w:jc w:val="both"/>
    </w:pPr>
    <w:rPr>
      <w:rFonts w:ascii="Nimbus CEZ" w:hAnsi="Nimbus CEZ" w:cs="Arial"/>
      <w:sz w:val="20"/>
    </w:rPr>
  </w:style>
  <w:style w:type="paragraph" w:customStyle="1" w:styleId="NormlnNimbusCEZ">
    <w:name w:val="Normální + Nimbus CEZ"/>
    <w:aliases w:val="9 b.,10 b.,Před:  2 b."/>
    <w:basedOn w:val="Nadpis1"/>
    <w:link w:val="NormlnNimbusCEZ1"/>
    <w:rsid w:val="004D133C"/>
    <w:pPr>
      <w:keepLines w:val="0"/>
      <w:spacing w:before="0"/>
    </w:pPr>
    <w:rPr>
      <w:rFonts w:ascii="Nimbus CEZ" w:eastAsia="Calibri" w:hAnsi="Nimbus CEZ" w:cs="Times New Roman"/>
      <w:color w:val="auto"/>
      <w:sz w:val="16"/>
      <w:szCs w:val="16"/>
    </w:rPr>
  </w:style>
  <w:style w:type="character" w:customStyle="1" w:styleId="NormlnNimbusCEZ1">
    <w:name w:val="Normální + Nimbus CEZ1"/>
    <w:aliases w:val="10 b.1,Před:  2 b. Char"/>
    <w:link w:val="NormlnNimbusCEZ"/>
    <w:locked/>
    <w:rsid w:val="004D133C"/>
    <w:rPr>
      <w:rFonts w:ascii="Nimbus CEZ" w:eastAsia="Calibri" w:hAnsi="Nimbus CEZ" w:cs="Times New Roman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D1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Hrančíková</dc:creator>
  <cp:keywords/>
  <dc:description/>
  <cp:lastModifiedBy>Zatloukalová Květuše</cp:lastModifiedBy>
  <cp:revision>3</cp:revision>
  <dcterms:created xsi:type="dcterms:W3CDTF">2022-12-09T13:34:00Z</dcterms:created>
  <dcterms:modified xsi:type="dcterms:W3CDTF">2022-12-12T08:50:00Z</dcterms:modified>
</cp:coreProperties>
</file>