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III/41015 Bahnův mlýn - propustek ev.č. 41015-7P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 ZMR-ST-02-2022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2240" w:h="15840"/>
          <w:pgMar w:top="1090" w:left="1277" w:right="1402" w:bottom="1188" w:header="662" w:footer="3" w:gutter="0"/>
          <w:pgNumType w:start="1"/>
          <w:cols w:num="2" w:space="720" w:equalWidth="0">
            <w:col w:w="4546" w:space="950"/>
            <w:col w:w="4066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zhotovitele: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4" w:after="2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090" w:left="0" w:right="0" w:bottom="1188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DODATEK Č. 2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III/41015 Bahnův mlýn - propustek ev. č. 41015-7P ze dne 24. 3. 2022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45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I.</w:t>
      </w:r>
    </w:p>
    <w:tbl>
      <w:tblPr>
        <w:tblOverlap w:val="never"/>
        <w:jc w:val="left"/>
        <w:tblLayout w:type="fixed"/>
      </w:tblPr>
      <w:tblGrid>
        <w:gridCol w:w="1810"/>
        <w:gridCol w:w="6542"/>
      </w:tblGrid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 strany</w:t>
            </w:r>
          </w:p>
        </w:tc>
      </w:tr>
      <w:tr>
        <w:trPr>
          <w:trHeight w:val="38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widowControl w:val="0"/>
        <w:spacing w:after="139" w:line="1" w:lineRule="exact"/>
      </w:pPr>
    </w:p>
    <w:p>
      <w:pPr>
        <w:widowControl w:val="0"/>
        <w:spacing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objednatele ve věcech</w:t>
      </w:r>
    </w:p>
    <w:tbl>
      <w:tblPr>
        <w:tblOverlap w:val="never"/>
        <w:jc w:val="left"/>
        <w:tblLayout w:type="fixed"/>
      </w:tblPr>
      <w:tblGrid>
        <w:gridCol w:w="1810"/>
        <w:gridCol w:w="6538"/>
      </w:tblGrid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 ředitel organizace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38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0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„Objednatel“)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1810"/>
        <w:gridCol w:w="6538"/>
      </w:tblGrid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Inženýrské stavby Jebáček s.r.o.</w:t>
            </w:r>
          </w:p>
        </w:tc>
      </w:tr>
      <w:tr>
        <w:trPr>
          <w:trHeight w:val="38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Popice 11, 669 02 Znojmo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Janem Jebáček, jednatelem společnosti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vedeném u Krajského soudu v Brně, oddíl C, vložka 75747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zhotovitele ve věcech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smluvních:</w:t>
      </w:r>
    </w:p>
    <w:tbl>
      <w:tblPr>
        <w:tblOverlap w:val="never"/>
        <w:jc w:val="left"/>
        <w:tblLayout w:type="fixed"/>
      </w:tblPr>
      <w:tblGrid>
        <w:gridCol w:w="1810"/>
        <w:gridCol w:w="6538"/>
      </w:tblGrid>
      <w:tr>
        <w:trPr>
          <w:trHeight w:val="33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29366186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CZ29366186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jako „Zhotovitel“)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“)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dohodly na následujících ustanoveních: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II.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  <w:bookmarkEnd w:id="2"/>
      <w:bookmarkEnd w:id="3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 na prodloužení termínu předání a převzetí ověřeného geometrického plánu. Důvodem k prodloužení termínu je probíhající komplexní pozemková úprava v k.ú. Police u Jemnice, která je ve fázi rozpracovanosti. V terénu proběhlo zjišťování průběhu hranic pozemků, které byly nově trvale stabilizovány. Nejsou k dispozici výsledky, na něž by se dalo navázat. Zároveň probíhá v k.ú. Kostníky obnova operátu novým mapováním, kde si mají vlastníci pozemků trvale označit nesporné hranice pozemků.</w: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175" distB="196850" distL="0" distR="0" simplePos="0" relativeHeight="125829378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3175</wp:posOffset>
                </wp:positionV>
                <wp:extent cx="2886710" cy="173990"/>
                <wp:wrapTopAndBottom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8671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III/41015 Bahnův mlýn - propustek ev.č. 41015-7P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63.75pt;margin-top:0.25pt;width:227.30000000000001pt;height:13.699999999999999pt;z-index:-125829375;mso-wrap-distance-left:0;mso-wrap-distance-top:0.25pt;mso-wrap-distance-right:0;mso-wrap-distance-bottom:15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III/41015 Bahnův mlýn - propustek ev.č. 41015-7P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50800" distL="0" distR="0" simplePos="0" relativeHeight="125829380" behindDoc="0" locked="0" layoutInCell="1" allowOverlap="1">
                <wp:simplePos x="0" y="0"/>
                <wp:positionH relativeFrom="page">
                  <wp:posOffset>4299585</wp:posOffset>
                </wp:positionH>
                <wp:positionV relativeFrom="paragraph">
                  <wp:posOffset>0</wp:posOffset>
                </wp:positionV>
                <wp:extent cx="2581910" cy="323215"/>
                <wp:wrapTopAndBottom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81910" cy="323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smlouvy objednatele: ZMR-ST-02-2022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smlouvy zhotovitele: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38.55000000000001pt;margin-top:0;width:203.30000000000001pt;height:25.449999999999999pt;z-index:-125829373;mso-wrap-distance-left:0;mso-wrap-distance-right:0;mso-wrap-distance-bottom:4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smlouvy objednatele: ZMR-ST-02-2022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smlouvy zhotovitele: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Lhůta plnění dle stávající smlouvy článku IV., odstavce 4.1.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mění tak, že původní ujednání, které zní:</w:t>
      </w:r>
    </w:p>
    <w:p>
      <w:pPr>
        <w:pStyle w:val="Style16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1051" w:val="left"/>
        </w:tabs>
        <w:bidi w:val="0"/>
        <w:spacing w:before="0" w:line="257" w:lineRule="auto"/>
        <w:ind w:left="0" w:right="0" w:firstLine="720"/>
        <w:jc w:val="both"/>
      </w:pPr>
      <w:bookmarkStart w:id="4" w:name="bookmark4"/>
      <w:bookmarkStart w:id="5" w:name="bookmark5"/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zahájení realizace stavby: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předání a převzetí staveniště</w:t>
      </w:r>
      <w:bookmarkEnd w:id="4"/>
      <w:bookmarkEnd w:id="5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6" w:val="left"/>
        </w:tabs>
        <w:bidi w:val="0"/>
        <w:spacing w:before="0" w:after="100" w:line="240" w:lineRule="auto"/>
        <w:ind w:left="7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uvedení celé stavby do užívání ve smyslu čl. XII. obchodních podmínek (dále i „OP“):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3 měsíců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předání a převzetí staveniště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6" w:val="left"/>
        </w:tabs>
        <w:bidi w:val="0"/>
        <w:spacing w:before="0" w:after="100" w:line="240" w:lineRule="auto"/>
        <w:ind w:left="7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dokončení díla vč. předání kompletní dokladové části Objednateli: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1 měsíce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uvedení celé stavby do užívání dle bodu b) (vyjma geometrického plánu)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6" w:val="left"/>
        </w:tabs>
        <w:bidi w:val="0"/>
        <w:spacing w:before="0" w:after="380" w:line="240" w:lineRule="auto"/>
        <w:ind w:left="7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předání a převzetí ověřeného geometrického plánu: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3 měsíců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uvedení celé stavby do užívání dle bodu b)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line="276" w:lineRule="auto"/>
        <w:ind w:left="0" w:right="0" w:firstLine="0"/>
        <w:jc w:val="both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ujednáním:</w:t>
      </w:r>
      <w:bookmarkEnd w:id="6"/>
      <w:bookmarkEnd w:id="7"/>
    </w:p>
    <w:p>
      <w:pPr>
        <w:pStyle w:val="Style16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1051" w:val="left"/>
        </w:tabs>
        <w:bidi w:val="0"/>
        <w:spacing w:before="0" w:line="257" w:lineRule="auto"/>
        <w:ind w:left="0" w:right="0" w:firstLine="720"/>
        <w:jc w:val="both"/>
      </w:pPr>
      <w:bookmarkStart w:id="8" w:name="bookmark8"/>
      <w:bookmarkStart w:id="9" w:name="bookmark9"/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zahájení realizace stavby: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předání a převzetí staveniště</w:t>
      </w:r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6" w:val="left"/>
        </w:tabs>
        <w:bidi w:val="0"/>
        <w:spacing w:before="0" w:after="100" w:line="240" w:lineRule="auto"/>
        <w:ind w:left="7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uvedení celé stavby do užívání ve smyslu čl. XII. obchodních podmínek (dále i „OP“):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3 měsíců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předání a převzetí staveniště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6" w:val="left"/>
        </w:tabs>
        <w:bidi w:val="0"/>
        <w:spacing w:before="0" w:after="100" w:line="240" w:lineRule="auto"/>
        <w:ind w:left="7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dokončení díla vč. předání kompletní dokladové části Objednateli: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1 měsíce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uvedení celé stavby do užívání dle bodu b) (vyjma geometrického plánu)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6" w:val="left"/>
        </w:tabs>
        <w:bidi w:val="0"/>
        <w:spacing w:before="0" w:after="520" w:line="240" w:lineRule="auto"/>
        <w:ind w:left="7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předání a převzetí ověřeného geometrického plánu: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2 měsíců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dokončení komplexní úpravy a nového mapování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III.</w:t>
      </w:r>
      <w:bookmarkEnd w:id="10"/>
      <w:bookmarkEnd w:id="11"/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240" w:line="276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  <w:bookmarkEnd w:id="12"/>
      <w:bookmarkEnd w:id="13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4" w:val="left"/>
        </w:tabs>
        <w:bidi w:val="0"/>
        <w:spacing w:before="0" w:after="2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v aktuálním znění se nemění a zůstávají v platnosti.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4" w:val="left"/>
        </w:tabs>
        <w:bidi w:val="0"/>
        <w:spacing w:before="0" w:after="2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nedílnou součástí smlouvy v aktuálním znění.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4" w:val="left"/>
        </w:tabs>
        <w:bidi w:val="0"/>
        <w:spacing w:before="0" w:after="2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vyhotoven v elektronické podobě, přičemž obě smluvní strany obdrží jeho elektronický originál.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4" w:val="left"/>
        </w:tabs>
        <w:bidi w:val="0"/>
        <w:spacing w:before="0" w:after="2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2 je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platný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4" w:val="left"/>
        </w:tabs>
        <w:bidi w:val="0"/>
        <w:spacing w:before="0" w:after="2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2 je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účinný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dnem jeho uveřejnění v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4" w:val="left"/>
        </w:tabs>
        <w:bidi w:val="0"/>
        <w:spacing w:before="0" w:after="2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podléhá zveřejnění dle zákona č. 340/2015 Sb., o zvláštních podmínkách účinnosti některých smluv, uveřejňování těchto smluv a o registru smluv (zákon o registru smluv), v platném a účinném znění.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4" w:val="left"/>
        </w:tabs>
        <w:bidi w:val="0"/>
        <w:spacing w:before="0" w:after="2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175" distB="209550" distL="0" distR="0" simplePos="0" relativeHeight="125829382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3175</wp:posOffset>
                </wp:positionV>
                <wp:extent cx="2886710" cy="173990"/>
                <wp:wrapTopAndBottom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8671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III/41015 Bahnův mlýn - propustek ev.č. 41015-7P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63.75pt;margin-top:0.25pt;width:227.30000000000001pt;height:13.699999999999999pt;z-index:-125829371;mso-wrap-distance-left:0;mso-wrap-distance-top:0.25pt;mso-wrap-distance-right:0;mso-wrap-distance-bottom:16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III/41015 Bahnův mlýn - propustek ev.č. 41015-7P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63500" distL="0" distR="0" simplePos="0" relativeHeight="125829384" behindDoc="0" locked="0" layoutInCell="1" allowOverlap="1">
                <wp:simplePos x="0" y="0"/>
                <wp:positionH relativeFrom="page">
                  <wp:posOffset>4299585</wp:posOffset>
                </wp:positionH>
                <wp:positionV relativeFrom="paragraph">
                  <wp:posOffset>0</wp:posOffset>
                </wp:positionV>
                <wp:extent cx="2581910" cy="323215"/>
                <wp:wrapTopAndBottom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81910" cy="323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smlouvy objednatele: ZMR-ST-02-2022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smlouvy zhotovitele: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338.55000000000001pt;margin-top:0;width:203.30000000000001pt;height:25.449999999999999pt;z-index:-125829369;mso-wrap-distance-left:0;mso-wrap-distance-right:0;mso-wrap-distance-bottom:5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smlouvy objednatele: ZMR-ST-02-2022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smlouvy zhotovitele: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0" w:val="left"/>
        </w:tabs>
        <w:bidi w:val="0"/>
        <w:spacing w:before="0" w:after="74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2 byl sepsán na základě pravdivých údajů, z jejich pravé a svobodné vůle a nebyl uzavřen v tísni za jednostranně nevýhodných podmínek.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059" w:val="left"/>
        </w:tabs>
        <w:bidi w:val="0"/>
        <w:spacing w:before="0" w:after="214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 Znojmě</w:t>
        <w:tab/>
        <w:t>V Jihlavě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24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1379855</wp:posOffset>
                </wp:positionH>
                <wp:positionV relativeFrom="paragraph">
                  <wp:posOffset>12700</wp:posOffset>
                </wp:positionV>
                <wp:extent cx="1944370" cy="359410"/>
                <wp:wrapSquare wrapText="right"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44370" cy="3594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Jan Jebáček, jednatel společnosti Inženýrské stavby Jebáček s.r.o.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108.65000000000001pt;margin-top:1.pt;width:153.09999999999999pt;height:28.300000000000001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Jan Jebáček, jednatel společnosti Inženýrské stavby Jebáček s.r.o.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Necid, ředitel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</w:t>
        <w:br/>
        <w:t>příspěvková organizace</w:t>
      </w:r>
    </w:p>
    <w:sectPr>
      <w:footnotePr>
        <w:pos w:val="pageBottom"/>
        <w:numFmt w:val="decimal"/>
        <w:numRestart w:val="continuous"/>
      </w:footnotePr>
      <w:type w:val="continuous"/>
      <w:pgSz w:w="12240" w:h="15840"/>
      <w:pgMar w:top="1090" w:left="1150" w:right="1288" w:bottom="1188" w:header="662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3468370</wp:posOffset>
              </wp:positionH>
              <wp:positionV relativeFrom="page">
                <wp:posOffset>9558655</wp:posOffset>
              </wp:positionV>
              <wp:extent cx="746760" cy="10985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4676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3.10000000000002pt;margin-top:752.64999999999998pt;width:58.799999999999997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9514205</wp:posOffset>
              </wp:positionV>
              <wp:extent cx="621792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179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49.14999999999998pt;width:48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3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Nadpis #1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Jiné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Nadpis #2_"/>
    <w:basedOn w:val="DefaultParagraphFont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4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FFFFFF"/>
      <w:spacing w:after="14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  <w:spacing w:after="14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Nadpis #2"/>
    <w:basedOn w:val="Normal"/>
    <w:link w:val="CharStyle17"/>
    <w:pPr>
      <w:widowControl w:val="0"/>
      <w:shd w:val="clear" w:color="auto" w:fill="FFFFFF"/>
      <w:spacing w:after="100" w:line="266" w:lineRule="auto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kostelecka</dc:creator>
  <cp:keywords/>
</cp:coreProperties>
</file>