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C42" w:rsidRDefault="0052680B">
      <w:pPr>
        <w:pStyle w:val="Nadpis1"/>
        <w:ind w:left="-43"/>
      </w:pPr>
      <w:bookmarkStart w:id="0" w:name="_GoBack"/>
      <w:bookmarkEnd w:id="0"/>
      <w:r>
        <w:rPr>
          <w:noProof/>
        </w:rPr>
        <w:drawing>
          <wp:inline distT="0" distB="0" distL="0" distR="0">
            <wp:extent cx="6099" cy="6098"/>
            <wp:effectExtent l="0" t="0" r="0" b="0"/>
            <wp:docPr id="3500" name="Picture 3500"/>
            <wp:cNvGraphicFramePr/>
            <a:graphic xmlns:a="http://schemas.openxmlformats.org/drawingml/2006/main">
              <a:graphicData uri="http://schemas.openxmlformats.org/drawingml/2006/picture">
                <pic:pic xmlns:pic="http://schemas.openxmlformats.org/drawingml/2006/picture">
                  <pic:nvPicPr>
                    <pic:cNvPr id="3500" name="Picture 3500"/>
                    <pic:cNvPicPr/>
                  </pic:nvPicPr>
                  <pic:blipFill>
                    <a:blip r:embed="rId7"/>
                    <a:stretch>
                      <a:fillRect/>
                    </a:stretch>
                  </pic:blipFill>
                  <pic:spPr>
                    <a:xfrm>
                      <a:off x="0" y="0"/>
                      <a:ext cx="6099" cy="6098"/>
                    </a:xfrm>
                    <a:prstGeom prst="rect">
                      <a:avLst/>
                    </a:prstGeom>
                  </pic:spPr>
                </pic:pic>
              </a:graphicData>
            </a:graphic>
          </wp:inline>
        </w:drawing>
      </w:r>
      <w:r>
        <w:t>1</w:t>
      </w:r>
      <w:r>
        <w:rPr>
          <w:u w:val="single" w:color="000000"/>
        </w:rPr>
        <w:t>13</w:t>
      </w:r>
      <w:r>
        <w:t>&gt;</w:t>
      </w:r>
    </w:p>
    <w:p w:rsidR="008E4C42" w:rsidRDefault="0052680B">
      <w:pPr>
        <w:spacing w:after="0" w:line="259" w:lineRule="auto"/>
        <w:ind w:left="1738" w:firstLine="0"/>
        <w:jc w:val="left"/>
      </w:pPr>
      <w:r>
        <w:rPr>
          <w:sz w:val="36"/>
          <w:u w:val="single" w:color="000000"/>
        </w:rPr>
        <w:t>Závěrkový list č. PL-20221101-2686-87</w:t>
      </w:r>
    </w:p>
    <w:p w:rsidR="008E4C42" w:rsidRDefault="0052680B">
      <w:pPr>
        <w:spacing w:after="0" w:line="259" w:lineRule="auto"/>
        <w:ind w:firstLine="0"/>
        <w:jc w:val="right"/>
      </w:pPr>
      <w:r>
        <w:t>(pro burzovní obchody s plynem v rámci sdružených služeb dodávky plynu)</w:t>
      </w:r>
    </w:p>
    <w:p w:rsidR="008E4C42" w:rsidRDefault="008E4C42">
      <w:pPr>
        <w:sectPr w:rsidR="008E4C42">
          <w:headerReference w:type="even" r:id="rId8"/>
          <w:headerReference w:type="default" r:id="rId9"/>
          <w:footerReference w:type="even" r:id="rId10"/>
          <w:footerReference w:type="default" r:id="rId11"/>
          <w:headerReference w:type="first" r:id="rId12"/>
          <w:footerReference w:type="first" r:id="rId13"/>
          <w:pgSz w:w="11563" w:h="16488"/>
          <w:pgMar w:top="307" w:right="2382" w:bottom="832" w:left="1200" w:header="432" w:footer="351" w:gutter="0"/>
          <w:cols w:space="708"/>
        </w:sectPr>
      </w:pPr>
    </w:p>
    <w:p w:rsidR="008E4C42" w:rsidRDefault="0052680B">
      <w:pPr>
        <w:spacing w:after="174"/>
        <w:ind w:left="14" w:right="10"/>
      </w:pPr>
      <w:r>
        <w:t>číslo aukce: 2686</w:t>
      </w:r>
    </w:p>
    <w:p w:rsidR="008E4C42" w:rsidRDefault="0052680B">
      <w:pPr>
        <w:spacing w:after="154" w:line="269" w:lineRule="auto"/>
        <w:ind w:left="9" w:right="14" w:firstLine="0"/>
      </w:pPr>
      <w:r>
        <w:rPr>
          <w:sz w:val="24"/>
        </w:rPr>
        <w:t>Dodavatel (prodávající):</w:t>
      </w:r>
    </w:p>
    <w:p w:rsidR="008E4C42" w:rsidRDefault="0052680B">
      <w:pPr>
        <w:spacing w:after="3" w:line="269" w:lineRule="auto"/>
        <w:ind w:left="9" w:right="14" w:firstLine="0"/>
      </w:pPr>
      <w:r>
        <w:rPr>
          <w:sz w:val="24"/>
        </w:rPr>
        <w:t>Zapsán v:</w:t>
      </w:r>
    </w:p>
    <w:p w:rsidR="008E4C42" w:rsidRDefault="0052680B">
      <w:pPr>
        <w:spacing w:after="3" w:line="269" w:lineRule="auto"/>
        <w:ind w:left="9" w:right="14" w:firstLine="0"/>
      </w:pPr>
      <w:r>
        <w:rPr>
          <w:sz w:val="24"/>
        </w:rPr>
        <w:t>Sídlo:</w:t>
      </w:r>
    </w:p>
    <w:p w:rsidR="008E4C42" w:rsidRDefault="0052680B">
      <w:pPr>
        <w:spacing w:after="0"/>
        <w:ind w:left="14" w:right="884"/>
      </w:pPr>
      <w:r>
        <w:t>IČO: 60193492 Bankovní spojení:</w:t>
      </w:r>
    </w:p>
    <w:p w:rsidR="008E4C42" w:rsidRDefault="0052680B">
      <w:pPr>
        <w:spacing w:after="3" w:line="269" w:lineRule="auto"/>
        <w:ind w:left="9" w:right="14" w:firstLine="0"/>
      </w:pPr>
      <w:r>
        <w:rPr>
          <w:sz w:val="24"/>
        </w:rPr>
        <w:t>Zastoupen:</w:t>
      </w:r>
    </w:p>
    <w:p w:rsidR="008E4C42" w:rsidRDefault="0052680B">
      <w:pPr>
        <w:spacing w:after="210"/>
        <w:ind w:left="14" w:right="10"/>
      </w:pPr>
      <w:r>
        <w:t>Jméno a příjmení makléře: Evidenční číslo makléře:</w:t>
      </w:r>
    </w:p>
    <w:p w:rsidR="008E4C42" w:rsidRDefault="0052680B">
      <w:pPr>
        <w:spacing w:after="158" w:line="269" w:lineRule="auto"/>
        <w:ind w:left="9" w:right="14" w:firstLine="0"/>
      </w:pPr>
      <w:r>
        <w:rPr>
          <w:sz w:val="24"/>
        </w:rPr>
        <w:t>Odběratel (kupující):</w:t>
      </w:r>
    </w:p>
    <w:p w:rsidR="008E4C42" w:rsidRDefault="0052680B">
      <w:pPr>
        <w:spacing w:after="3" w:line="269" w:lineRule="auto"/>
        <w:ind w:left="9" w:right="14" w:firstLine="0"/>
      </w:pPr>
      <w:r>
        <w:rPr>
          <w:sz w:val="24"/>
        </w:rPr>
        <w:t>Zapsán v:</w:t>
      </w:r>
    </w:p>
    <w:p w:rsidR="008E4C42" w:rsidRDefault="0052680B">
      <w:pPr>
        <w:spacing w:after="3" w:line="269" w:lineRule="auto"/>
        <w:ind w:left="9" w:right="14" w:firstLine="0"/>
      </w:pPr>
      <w:r>
        <w:rPr>
          <w:sz w:val="24"/>
        </w:rPr>
        <w:t>Sídlo:</w:t>
      </w:r>
    </w:p>
    <w:p w:rsidR="008E4C42" w:rsidRDefault="0052680B">
      <w:pPr>
        <w:spacing w:after="0"/>
        <w:ind w:left="14" w:right="884"/>
      </w:pPr>
      <w:r>
        <w:t>IČO: 63701332 Bankovní spojení:</w:t>
      </w:r>
    </w:p>
    <w:p w:rsidR="008E4C42" w:rsidRDefault="0052680B">
      <w:pPr>
        <w:spacing w:after="3" w:line="269" w:lineRule="auto"/>
        <w:ind w:left="9" w:right="14" w:firstLine="0"/>
      </w:pPr>
      <w:r>
        <w:rPr>
          <w:sz w:val="24"/>
        </w:rPr>
        <w:t>Zastoupen:</w:t>
      </w:r>
    </w:p>
    <w:p w:rsidR="008E4C42" w:rsidRDefault="0052680B">
      <w:pPr>
        <w:spacing w:after="227"/>
        <w:ind w:left="14" w:right="10"/>
      </w:pPr>
      <w:r>
        <w:t>Jméno a příjmení makléře: Evidenční číslo makléře:</w:t>
      </w:r>
    </w:p>
    <w:p w:rsidR="008E4C42" w:rsidRDefault="0052680B">
      <w:pPr>
        <w:spacing w:after="385" w:line="269" w:lineRule="auto"/>
        <w:ind w:left="9" w:right="14" w:firstLine="0"/>
      </w:pPr>
      <w:r>
        <w:rPr>
          <w:sz w:val="24"/>
        </w:rPr>
        <w:t>Popis produktu:</w:t>
      </w:r>
    </w:p>
    <w:p w:rsidR="008E4C42" w:rsidRDefault="0052680B">
      <w:pPr>
        <w:spacing w:after="129" w:line="265" w:lineRule="auto"/>
        <w:ind w:left="14" w:hanging="10"/>
        <w:jc w:val="left"/>
      </w:pPr>
      <w:r>
        <w:rPr>
          <w:sz w:val="26"/>
        </w:rPr>
        <w:t>Způsob sjednání ceny:</w:t>
      </w:r>
    </w:p>
    <w:p w:rsidR="008E4C42" w:rsidRDefault="0052680B">
      <w:pPr>
        <w:spacing w:after="129" w:line="265" w:lineRule="auto"/>
        <w:ind w:left="14" w:hanging="10"/>
        <w:jc w:val="left"/>
      </w:pPr>
      <w:r>
        <w:rPr>
          <w:sz w:val="26"/>
        </w:rPr>
        <w:t>Počet odběrných míst:</w:t>
      </w:r>
    </w:p>
    <w:p w:rsidR="008E4C42" w:rsidRDefault="0052680B">
      <w:pPr>
        <w:spacing w:after="154" w:line="269" w:lineRule="auto"/>
        <w:ind w:left="9" w:right="14" w:firstLine="0"/>
      </w:pPr>
      <w:r>
        <w:rPr>
          <w:sz w:val="24"/>
        </w:rPr>
        <w:t>Termín dodávky:</w:t>
      </w:r>
    </w:p>
    <w:p w:rsidR="008E4C42" w:rsidRDefault="0052680B">
      <w:pPr>
        <w:spacing w:after="160" w:line="269" w:lineRule="auto"/>
        <w:ind w:left="9" w:right="14" w:firstLine="0"/>
      </w:pPr>
      <w:r>
        <w:rPr>
          <w:sz w:val="24"/>
        </w:rPr>
        <w:t>Celkové množství dodávky:</w:t>
      </w:r>
    </w:p>
    <w:p w:rsidR="008E4C42" w:rsidRDefault="0052680B">
      <w:pPr>
        <w:spacing w:after="167" w:line="269" w:lineRule="auto"/>
        <w:ind w:left="9" w:right="14" w:firstLine="0"/>
      </w:pPr>
      <w:r>
        <w:rPr>
          <w:sz w:val="24"/>
        </w:rPr>
        <w:t xml:space="preserve">Hodnota </w:t>
      </w:r>
      <w:proofErr w:type="spellStart"/>
      <w:r>
        <w:rPr>
          <w:sz w:val="24"/>
        </w:rPr>
        <w:t>přičítacího</w:t>
      </w:r>
      <w:proofErr w:type="spellEnd"/>
      <w:r>
        <w:rPr>
          <w:sz w:val="24"/>
        </w:rPr>
        <w:t xml:space="preserve"> koeficientu:</w:t>
      </w:r>
    </w:p>
    <w:p w:rsidR="008E4C42" w:rsidRDefault="0052680B">
      <w:pPr>
        <w:spacing w:after="371" w:line="265" w:lineRule="auto"/>
        <w:ind w:left="14" w:hanging="10"/>
        <w:jc w:val="left"/>
      </w:pPr>
      <w:r>
        <w:rPr>
          <w:sz w:val="26"/>
        </w:rPr>
        <w:t>Pevná kapacitní složka ceny:</w:t>
      </w:r>
    </w:p>
    <w:p w:rsidR="008E4C42" w:rsidRDefault="0052680B">
      <w:pPr>
        <w:spacing w:after="220"/>
        <w:ind w:left="14" w:right="10"/>
      </w:pPr>
      <w:r>
        <w:t>Technické parametry dodávky:</w:t>
      </w:r>
    </w:p>
    <w:p w:rsidR="008E4C42" w:rsidRDefault="0052680B">
      <w:pPr>
        <w:pStyle w:val="Nadpis2"/>
        <w:ind w:left="19"/>
      </w:pPr>
      <w:r>
        <w:t>Zúčtovací podmínky</w:t>
      </w:r>
    </w:p>
    <w:p w:rsidR="008E4C42" w:rsidRDefault="0052680B">
      <w:pPr>
        <w:spacing w:after="634" w:line="269" w:lineRule="auto"/>
        <w:ind w:left="9" w:right="14" w:firstLine="0"/>
      </w:pPr>
      <w:r>
        <w:rPr>
          <w:sz w:val="24"/>
        </w:rPr>
        <w:t>Zúčtovací období:</w:t>
      </w:r>
    </w:p>
    <w:p w:rsidR="008E4C42" w:rsidRDefault="0052680B">
      <w:pPr>
        <w:spacing w:after="154" w:line="269" w:lineRule="auto"/>
        <w:ind w:left="9" w:right="14" w:firstLine="0"/>
      </w:pPr>
      <w:r>
        <w:rPr>
          <w:sz w:val="24"/>
        </w:rPr>
        <w:t>Splatnost zúčtovací faktury:</w:t>
      </w:r>
    </w:p>
    <w:p w:rsidR="008E4C42" w:rsidRDefault="0052680B">
      <w:pPr>
        <w:spacing w:after="129" w:line="265" w:lineRule="auto"/>
        <w:ind w:left="14" w:hanging="10"/>
        <w:jc w:val="left"/>
      </w:pPr>
      <w:r>
        <w:rPr>
          <w:sz w:val="26"/>
        </w:rPr>
        <w:t>Zálohy:</w:t>
      </w:r>
    </w:p>
    <w:p w:rsidR="008E4C42" w:rsidRDefault="0052680B">
      <w:pPr>
        <w:spacing w:after="0" w:line="356" w:lineRule="auto"/>
        <w:ind w:left="14" w:right="10" w:firstLine="653"/>
      </w:pPr>
      <w:r>
        <w:rPr>
          <w:noProof/>
        </w:rPr>
        <mc:AlternateContent>
          <mc:Choice Requires="wpg">
            <w:drawing>
              <wp:anchor distT="0" distB="0" distL="114300" distR="114300" simplePos="0" relativeHeight="251658240" behindDoc="0" locked="0" layoutInCell="1" allowOverlap="1">
                <wp:simplePos x="0" y="0"/>
                <wp:positionH relativeFrom="page">
                  <wp:posOffset>2024713</wp:posOffset>
                </wp:positionH>
                <wp:positionV relativeFrom="page">
                  <wp:posOffset>10110112</wp:posOffset>
                </wp:positionV>
                <wp:extent cx="994060" cy="1"/>
                <wp:effectExtent l="0" t="0" r="0" b="0"/>
                <wp:wrapTopAndBottom/>
                <wp:docPr id="54312" name="Group 54312"/>
                <wp:cNvGraphicFramePr/>
                <a:graphic xmlns:a="http://schemas.openxmlformats.org/drawingml/2006/main">
                  <a:graphicData uri="http://schemas.microsoft.com/office/word/2010/wordprocessingGroup">
                    <wpg:wgp>
                      <wpg:cNvGrpSpPr/>
                      <wpg:grpSpPr>
                        <a:xfrm>
                          <a:off x="0" y="0"/>
                          <a:ext cx="994060" cy="1"/>
                          <a:chOff x="0" y="0"/>
                          <a:chExt cx="994060" cy="1"/>
                        </a:xfrm>
                      </wpg:grpSpPr>
                      <wps:wsp>
                        <wps:cNvPr id="54311" name="Shape 54311"/>
                        <wps:cNvSpPr/>
                        <wps:spPr>
                          <a:xfrm>
                            <a:off x="0" y="0"/>
                            <a:ext cx="994060" cy="0"/>
                          </a:xfrm>
                          <a:custGeom>
                            <a:avLst/>
                            <a:gdLst/>
                            <a:ahLst/>
                            <a:cxnLst/>
                            <a:rect l="0" t="0" r="0" b="0"/>
                            <a:pathLst>
                              <a:path w="994060">
                                <a:moveTo>
                                  <a:pt x="0" y="0"/>
                                </a:moveTo>
                                <a:lnTo>
                                  <a:pt x="994060"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4312" style="width:78.2725pt;height:7.87402e-05pt;position:absolute;mso-position-horizontal-relative:page;mso-position-horizontal:absolute;margin-left:159.426pt;mso-position-vertical-relative:page;margin-top:796.072pt;" coordsize="9940,0">
                <v:shape id="Shape 54311" style="position:absolute;width:9940;height:0;left:0;top:0;" coordsize="994060,0" path="m0,0l994060,0">
                  <v:stroke weight="0pt" endcap="flat" joinstyle="miter" miterlimit="1" on="true" color="#000000"/>
                  <v:fill on="false" color="#000000"/>
                </v:shape>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3488360</wp:posOffset>
                </wp:positionH>
                <wp:positionV relativeFrom="page">
                  <wp:posOffset>10097916</wp:posOffset>
                </wp:positionV>
                <wp:extent cx="3305404" cy="6097"/>
                <wp:effectExtent l="0" t="0" r="0" b="0"/>
                <wp:wrapTopAndBottom/>
                <wp:docPr id="54314" name="Group 54314"/>
                <wp:cNvGraphicFramePr/>
                <a:graphic xmlns:a="http://schemas.openxmlformats.org/drawingml/2006/main">
                  <a:graphicData uri="http://schemas.microsoft.com/office/word/2010/wordprocessingGroup">
                    <wpg:wgp>
                      <wpg:cNvGrpSpPr/>
                      <wpg:grpSpPr>
                        <a:xfrm>
                          <a:off x="0" y="0"/>
                          <a:ext cx="3305404" cy="6097"/>
                          <a:chOff x="0" y="0"/>
                          <a:chExt cx="3305404" cy="6097"/>
                        </a:xfrm>
                      </wpg:grpSpPr>
                      <wps:wsp>
                        <wps:cNvPr id="54313" name="Shape 54313"/>
                        <wps:cNvSpPr/>
                        <wps:spPr>
                          <a:xfrm>
                            <a:off x="0" y="0"/>
                            <a:ext cx="3305404" cy="6097"/>
                          </a:xfrm>
                          <a:custGeom>
                            <a:avLst/>
                            <a:gdLst/>
                            <a:ahLst/>
                            <a:cxnLst/>
                            <a:rect l="0" t="0" r="0" b="0"/>
                            <a:pathLst>
                              <a:path w="3305404" h="6097">
                                <a:moveTo>
                                  <a:pt x="0" y="3049"/>
                                </a:moveTo>
                                <a:lnTo>
                                  <a:pt x="330540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4314" style="width:260.268pt;height:0.480103pt;position:absolute;mso-position-horizontal-relative:page;mso-position-horizontal:absolute;margin-left:274.674pt;mso-position-vertical-relative:page;margin-top:795.112pt;" coordsize="33054,60">
                <v:shape id="Shape 54313" style="position:absolute;width:33054;height:60;left:0;top:0;" coordsize="3305404,6097" path="m0,3049l3305404,3049">
                  <v:stroke weight="0.480103pt" endcap="flat" joinstyle="miter" miterlimit="1" on="true" color="#000000"/>
                  <v:fill on="false" color="#000000"/>
                </v:shape>
                <w10:wrap type="topAndBottom"/>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640346</wp:posOffset>
                </wp:positionH>
                <wp:positionV relativeFrom="page">
                  <wp:posOffset>10116209</wp:posOffset>
                </wp:positionV>
                <wp:extent cx="695233" cy="6098"/>
                <wp:effectExtent l="0" t="0" r="0" b="0"/>
                <wp:wrapTopAndBottom/>
                <wp:docPr id="54316" name="Group 54316"/>
                <wp:cNvGraphicFramePr/>
                <a:graphic xmlns:a="http://schemas.openxmlformats.org/drawingml/2006/main">
                  <a:graphicData uri="http://schemas.microsoft.com/office/word/2010/wordprocessingGroup">
                    <wpg:wgp>
                      <wpg:cNvGrpSpPr/>
                      <wpg:grpSpPr>
                        <a:xfrm>
                          <a:off x="0" y="0"/>
                          <a:ext cx="695233" cy="6098"/>
                          <a:chOff x="0" y="0"/>
                          <a:chExt cx="695233" cy="6098"/>
                        </a:xfrm>
                      </wpg:grpSpPr>
                      <wps:wsp>
                        <wps:cNvPr id="54315" name="Shape 54315"/>
                        <wps:cNvSpPr/>
                        <wps:spPr>
                          <a:xfrm>
                            <a:off x="0" y="0"/>
                            <a:ext cx="695233" cy="6098"/>
                          </a:xfrm>
                          <a:custGeom>
                            <a:avLst/>
                            <a:gdLst/>
                            <a:ahLst/>
                            <a:cxnLst/>
                            <a:rect l="0" t="0" r="0" b="0"/>
                            <a:pathLst>
                              <a:path w="695233" h="6098">
                                <a:moveTo>
                                  <a:pt x="0" y="3049"/>
                                </a:moveTo>
                                <a:lnTo>
                                  <a:pt x="695233"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4316" style="width:54.7427pt;height:0.480164pt;position:absolute;mso-position-horizontal-relative:page;mso-position-horizontal:absolute;margin-left:50.4209pt;mso-position-vertical-relative:page;margin-top:796.552pt;" coordsize="6952,60">
                <v:shape id="Shape 54315" style="position:absolute;width:6952;height:60;left:0;top:0;" coordsize="695233,6098" path="m0,3049l695233,3049">
                  <v:stroke weight="0.480164pt" endcap="flat" joinstyle="miter" miterlimit="1" on="true" color="#000000"/>
                  <v:fill on="false" color="#000000"/>
                </v:shape>
                <w10:wrap type="topAndBottom"/>
              </v:group>
            </w:pict>
          </mc:Fallback>
        </mc:AlternateContent>
      </w:r>
      <w:r>
        <w:t>Datum konání burzovního shromáždění: I. listopadu 2022 Pražská plynárenská, a. s.</w:t>
      </w:r>
    </w:p>
    <w:p w:rsidR="008E4C42" w:rsidRDefault="0052680B">
      <w:pPr>
        <w:ind w:left="14" w:right="10"/>
      </w:pPr>
      <w:r>
        <w:t>OR vedeném Městským soudem v Praze, oddíl B, vložka 2337</w:t>
      </w:r>
    </w:p>
    <w:p w:rsidR="008E4C42" w:rsidRDefault="0052680B">
      <w:pPr>
        <w:ind w:left="14" w:right="10"/>
      </w:pPr>
      <w:r>
        <w:t>Národní 37, 110 OO Praha 1 - Nové Město</w:t>
      </w:r>
    </w:p>
    <w:p w:rsidR="008E4C42" w:rsidRDefault="0052680B">
      <w:pPr>
        <w:spacing w:after="3" w:line="269" w:lineRule="auto"/>
        <w:ind w:left="9" w:right="14" w:firstLine="0"/>
      </w:pPr>
      <w:r>
        <w:rPr>
          <w:sz w:val="24"/>
        </w:rPr>
        <w:t>DIC: CZ60193492</w:t>
      </w:r>
    </w:p>
    <w:p w:rsidR="008E4C42" w:rsidRDefault="0052680B">
      <w:pPr>
        <w:spacing w:after="29" w:line="259" w:lineRule="auto"/>
        <w:ind w:left="-77" w:firstLine="0"/>
        <w:jc w:val="left"/>
      </w:pPr>
      <w:r>
        <w:rPr>
          <w:noProof/>
        </w:rPr>
        <w:drawing>
          <wp:inline distT="0" distB="0" distL="0" distR="0">
            <wp:extent cx="1439253" cy="481724"/>
            <wp:effectExtent l="0" t="0" r="0" b="0"/>
            <wp:docPr id="54307" name="Picture 54307"/>
            <wp:cNvGraphicFramePr/>
            <a:graphic xmlns:a="http://schemas.openxmlformats.org/drawingml/2006/main">
              <a:graphicData uri="http://schemas.openxmlformats.org/drawingml/2006/picture">
                <pic:pic xmlns:pic="http://schemas.openxmlformats.org/drawingml/2006/picture">
                  <pic:nvPicPr>
                    <pic:cNvPr id="54307" name="Picture 54307"/>
                    <pic:cNvPicPr/>
                  </pic:nvPicPr>
                  <pic:blipFill>
                    <a:blip r:embed="rId14"/>
                    <a:stretch>
                      <a:fillRect/>
                    </a:stretch>
                  </pic:blipFill>
                  <pic:spPr>
                    <a:xfrm>
                      <a:off x="0" y="0"/>
                      <a:ext cx="1439253" cy="481724"/>
                    </a:xfrm>
                    <a:prstGeom prst="rect">
                      <a:avLst/>
                    </a:prstGeom>
                  </pic:spPr>
                </pic:pic>
              </a:graphicData>
            </a:graphic>
          </wp:inline>
        </w:drawing>
      </w:r>
    </w:p>
    <w:p w:rsidR="008E4C42" w:rsidRDefault="0052680B">
      <w:pPr>
        <w:spacing w:after="229" w:line="259" w:lineRule="auto"/>
        <w:ind w:left="5" w:hanging="10"/>
        <w:jc w:val="left"/>
      </w:pPr>
      <w:r>
        <w:rPr>
          <w:rFonts w:ascii="Times New Roman" w:eastAsia="Times New Roman" w:hAnsi="Times New Roman" w:cs="Times New Roman"/>
        </w:rPr>
        <w:t>41039</w:t>
      </w:r>
    </w:p>
    <w:p w:rsidR="008E4C42" w:rsidRDefault="0052680B">
      <w:pPr>
        <w:spacing w:after="73" w:line="269" w:lineRule="auto"/>
        <w:ind w:left="9" w:right="14" w:firstLine="0"/>
      </w:pPr>
      <w:r>
        <w:rPr>
          <w:sz w:val="24"/>
        </w:rPr>
        <w:t>Dětský domov a Školní jídelna, Přerov, Sušilova 25</w:t>
      </w:r>
    </w:p>
    <w:p w:rsidR="008E4C42" w:rsidRDefault="0052680B">
      <w:pPr>
        <w:ind w:left="14" w:right="10"/>
      </w:pPr>
      <w:r>
        <w:t>Registru ekonomických subjektů, ČSÚ</w:t>
      </w:r>
    </w:p>
    <w:p w:rsidR="008E4C42" w:rsidRDefault="0052680B">
      <w:pPr>
        <w:spacing w:after="0"/>
        <w:ind w:left="14" w:right="2564"/>
      </w:pPr>
      <w:r>
        <w:t>Sušilova 25/2392, 75002 Přerov DIČ: x</w:t>
      </w:r>
    </w:p>
    <w:p w:rsidR="008E4C42" w:rsidRDefault="0052680B">
      <w:pPr>
        <w:spacing w:after="29" w:line="259" w:lineRule="auto"/>
        <w:ind w:left="-86" w:firstLine="0"/>
        <w:jc w:val="left"/>
      </w:pPr>
      <w:r>
        <w:rPr>
          <w:noProof/>
        </w:rPr>
        <w:drawing>
          <wp:inline distT="0" distB="0" distL="0" distR="0">
            <wp:extent cx="1359973" cy="463431"/>
            <wp:effectExtent l="0" t="0" r="0" b="0"/>
            <wp:docPr id="54309" name="Picture 54309"/>
            <wp:cNvGraphicFramePr/>
            <a:graphic xmlns:a="http://schemas.openxmlformats.org/drawingml/2006/main">
              <a:graphicData uri="http://schemas.openxmlformats.org/drawingml/2006/picture">
                <pic:pic xmlns:pic="http://schemas.openxmlformats.org/drawingml/2006/picture">
                  <pic:nvPicPr>
                    <pic:cNvPr id="54309" name="Picture 54309"/>
                    <pic:cNvPicPr/>
                  </pic:nvPicPr>
                  <pic:blipFill>
                    <a:blip r:embed="rId15"/>
                    <a:stretch>
                      <a:fillRect/>
                    </a:stretch>
                  </pic:blipFill>
                  <pic:spPr>
                    <a:xfrm>
                      <a:off x="0" y="0"/>
                      <a:ext cx="1359973" cy="463431"/>
                    </a:xfrm>
                    <a:prstGeom prst="rect">
                      <a:avLst/>
                    </a:prstGeom>
                  </pic:spPr>
                </pic:pic>
              </a:graphicData>
            </a:graphic>
          </wp:inline>
        </w:drawing>
      </w:r>
    </w:p>
    <w:p w:rsidR="008E4C42" w:rsidRDefault="0052680B">
      <w:pPr>
        <w:spacing w:after="229" w:line="259" w:lineRule="auto"/>
        <w:ind w:left="5" w:hanging="10"/>
        <w:jc w:val="left"/>
      </w:pPr>
      <w:r>
        <w:rPr>
          <w:rFonts w:ascii="Times New Roman" w:eastAsia="Times New Roman" w:hAnsi="Times New Roman" w:cs="Times New Roman"/>
        </w:rPr>
        <w:t>41037</w:t>
      </w:r>
    </w:p>
    <w:p w:rsidR="008E4C42" w:rsidRDefault="0052680B">
      <w:pPr>
        <w:spacing w:after="597" w:line="269" w:lineRule="auto"/>
        <w:ind w:left="9" w:right="14" w:firstLine="0"/>
      </w:pPr>
      <w:r>
        <w:rPr>
          <w:sz w:val="24"/>
        </w:rPr>
        <w:t xml:space="preserve">Dodávka zemního plynu v rámci sdružených služeb dodávky zemního plynu pro odběr do 630 </w:t>
      </w:r>
      <w:proofErr w:type="spellStart"/>
      <w:r>
        <w:rPr>
          <w:sz w:val="24"/>
        </w:rPr>
        <w:t>MWh</w:t>
      </w:r>
      <w:proofErr w:type="spellEnd"/>
      <w:r>
        <w:rPr>
          <w:sz w:val="24"/>
        </w:rPr>
        <w:t xml:space="preserve"> (plyn — maloodběr) na základě cen na krátkodobém </w:t>
      </w:r>
      <w:proofErr w:type="gramStart"/>
      <w:r>
        <w:rPr>
          <w:sz w:val="24"/>
        </w:rPr>
        <w:t xml:space="preserve">trhu - </w:t>
      </w:r>
      <w:proofErr w:type="spellStart"/>
      <w:r>
        <w:rPr>
          <w:sz w:val="24"/>
        </w:rPr>
        <w:t>přičítací</w:t>
      </w:r>
      <w:proofErr w:type="spellEnd"/>
      <w:proofErr w:type="gramEnd"/>
      <w:r>
        <w:rPr>
          <w:sz w:val="24"/>
        </w:rPr>
        <w:t xml:space="preserve"> koeficient</w:t>
      </w:r>
    </w:p>
    <w:p w:rsidR="008E4C42" w:rsidRDefault="0052680B">
      <w:pPr>
        <w:spacing w:after="170" w:line="259" w:lineRule="auto"/>
        <w:ind w:left="19" w:firstLine="0"/>
        <w:jc w:val="left"/>
      </w:pPr>
      <w:r>
        <w:rPr>
          <w:rFonts w:ascii="Times New Roman" w:eastAsia="Times New Roman" w:hAnsi="Times New Roman" w:cs="Times New Roman"/>
          <w:sz w:val="26"/>
        </w:rPr>
        <w:t>1. 1. 2023 -31. 12. 2023</w:t>
      </w:r>
    </w:p>
    <w:p w:rsidR="008E4C42" w:rsidRDefault="0052680B">
      <w:pPr>
        <w:spacing w:after="220"/>
        <w:ind w:left="1556" w:right="10"/>
      </w:pPr>
      <w:r>
        <w:t xml:space="preserve">167 </w:t>
      </w:r>
      <w:proofErr w:type="spellStart"/>
      <w:r>
        <w:t>MWh</w:t>
      </w:r>
      <w:proofErr w:type="spellEnd"/>
    </w:p>
    <w:p w:rsidR="008E4C42" w:rsidRDefault="0052680B">
      <w:pPr>
        <w:spacing w:after="154" w:line="269" w:lineRule="auto"/>
        <w:ind w:left="1537" w:right="14" w:firstLine="0"/>
      </w:pPr>
      <w:r>
        <w:rPr>
          <w:sz w:val="24"/>
        </w:rPr>
        <w:t>400 CZK/</w:t>
      </w:r>
      <w:proofErr w:type="spellStart"/>
      <w:r>
        <w:rPr>
          <w:sz w:val="24"/>
        </w:rPr>
        <w:t>MWh</w:t>
      </w:r>
      <w:proofErr w:type="spellEnd"/>
    </w:p>
    <w:p w:rsidR="008E4C42" w:rsidRDefault="0052680B">
      <w:pPr>
        <w:spacing w:after="3" w:line="269" w:lineRule="auto"/>
        <w:ind w:left="1546" w:right="14" w:firstLine="0"/>
      </w:pPr>
      <w:r>
        <w:rPr>
          <w:sz w:val="24"/>
        </w:rPr>
        <w:t>O Kč/</w:t>
      </w:r>
      <w:proofErr w:type="spellStart"/>
      <w:r>
        <w:rPr>
          <w:sz w:val="24"/>
        </w:rPr>
        <w:t>odb</w:t>
      </w:r>
      <w:proofErr w:type="spellEnd"/>
      <w:r>
        <w:rPr>
          <w:sz w:val="24"/>
        </w:rPr>
        <w:t>. místo/měsíc</w:t>
      </w:r>
    </w:p>
    <w:p w:rsidR="008E4C42" w:rsidRDefault="0052680B">
      <w:pPr>
        <w:spacing w:after="129" w:line="265" w:lineRule="auto"/>
        <w:ind w:left="1556" w:hanging="10"/>
        <w:jc w:val="left"/>
      </w:pPr>
      <w:r>
        <w:rPr>
          <w:sz w:val="26"/>
        </w:rPr>
        <w:t>O Kč/tis. m'</w:t>
      </w:r>
    </w:p>
    <w:p w:rsidR="008E4C42" w:rsidRDefault="0052680B">
      <w:pPr>
        <w:spacing w:after="657"/>
        <w:ind w:left="14" w:right="10"/>
      </w:pPr>
      <w:r>
        <w:t>viz Příloha závěrkového listu č. 1</w:t>
      </w:r>
    </w:p>
    <w:p w:rsidR="008E4C42" w:rsidRDefault="0052680B">
      <w:pPr>
        <w:spacing w:after="238"/>
        <w:ind w:left="14" w:right="663"/>
      </w:pPr>
      <w:r>
        <w:t>rok — vyúčtování bude provedeno 1x ročně v termínu dle periodických odečtů příslušného provozovatele distribuční soustavy</w:t>
      </w:r>
    </w:p>
    <w:p w:rsidR="008E4C42" w:rsidRDefault="0052680B">
      <w:pPr>
        <w:spacing w:after="178" w:line="248" w:lineRule="auto"/>
        <w:ind w:left="5" w:right="-764" w:hanging="10"/>
        <w:jc w:val="left"/>
      </w:pPr>
      <w:r>
        <w:rPr>
          <w:sz w:val="20"/>
        </w:rPr>
        <w:t>21 dní</w:t>
      </w:r>
    </w:p>
    <w:p w:rsidR="008E4C42" w:rsidRDefault="0052680B">
      <w:pPr>
        <w:spacing w:after="3" w:line="269" w:lineRule="auto"/>
        <w:ind w:left="9" w:right="14" w:firstLine="0"/>
      </w:pPr>
      <w:r>
        <w:rPr>
          <w:sz w:val="24"/>
        </w:rPr>
        <w:t>měsíční</w:t>
      </w:r>
    </w:p>
    <w:p w:rsidR="008E4C42" w:rsidRDefault="008E4C42">
      <w:pPr>
        <w:sectPr w:rsidR="008E4C42">
          <w:type w:val="continuous"/>
          <w:pgSz w:w="11563" w:h="16488"/>
          <w:pgMar w:top="1440" w:right="884" w:bottom="1440" w:left="1008" w:header="708" w:footer="708" w:gutter="0"/>
          <w:cols w:num="2" w:space="708" w:equalWidth="0">
            <w:col w:w="3054" w:space="816"/>
            <w:col w:w="5801"/>
          </w:cols>
        </w:sectPr>
      </w:pPr>
    </w:p>
    <w:p w:rsidR="008E4C42" w:rsidRDefault="0052680B">
      <w:pPr>
        <w:spacing w:after="152" w:line="217" w:lineRule="auto"/>
        <w:ind w:left="9" w:firstLine="10"/>
        <w:jc w:val="left"/>
      </w:pPr>
      <w:r>
        <w:t>Dodavatel po uzavření burzovního obchodu (závěrkového lis</w:t>
      </w:r>
      <w:r>
        <w:t>tu) vystaví odběrateli platební kalendář, ve kterém předepíše první zálohu za dodávku plynu ve výši dvojnásobné měsíční předpokládané platby včetně daně z přidané hodnoty, splatnou k 15. dni prvního kalendářního měsíce dodávky plynu. Ostatní pravidelné zál</w:t>
      </w:r>
      <w:r>
        <w:t xml:space="preserve">ohy budou dodavatelem v platebním kalendáři předepsány již ve výši měsíční předpokládané platby včetně </w:t>
      </w:r>
      <w:r>
        <w:lastRenderedPageBreak/>
        <w:t xml:space="preserve">daně z přidané hodnoty se splatností k 15. dni příslušného kalendářního měsíce dodávky (pro poslední kalendářní měsíc dodávky nebude záloha předepsána). </w:t>
      </w:r>
      <w:r>
        <w:t>Odběratel je povinen dodavateli zálohy za dodávku plynu předepsané platebním kalendářem ve sjednaném termínu splatnosti uhradit.</w:t>
      </w:r>
    </w:p>
    <w:p w:rsidR="008E4C42" w:rsidRDefault="0052680B">
      <w:pPr>
        <w:spacing w:after="168" w:line="259" w:lineRule="auto"/>
        <w:ind w:left="19" w:hanging="10"/>
        <w:jc w:val="left"/>
      </w:pPr>
      <w:r>
        <w:rPr>
          <w:sz w:val="24"/>
          <w:u w:val="single" w:color="000000"/>
        </w:rPr>
        <w:t>Ostatní podmínky:</w:t>
      </w:r>
    </w:p>
    <w:p w:rsidR="008E4C42" w:rsidRDefault="0052680B">
      <w:pPr>
        <w:spacing w:after="142"/>
        <w:ind w:left="14" w:right="10"/>
      </w:pPr>
      <w:r>
        <w:t xml:space="preserve">Dodavatel je povinen u odběrných míst s </w:t>
      </w:r>
      <w:proofErr w:type="gramStart"/>
      <w:r>
        <w:t>jiným</w:t>
      </w:r>
      <w:proofErr w:type="gramEnd"/>
      <w:r>
        <w:t xml:space="preserve"> než ročním zúčtovacím obdobím umožnit samoodečet není-li odečet</w:t>
      </w:r>
      <w:r>
        <w:t xml:space="preserve"> měřícího zařízení prováděn dálkově. Dodavatel provede bezplatné vyúčtování po zaslání samoodečtů ze strany odběratele, které mu budou zaslány v termínu a způsobem stanoveným dodavatelem.</w:t>
      </w:r>
    </w:p>
    <w:p w:rsidR="008E4C42" w:rsidRDefault="0052680B">
      <w:pPr>
        <w:spacing w:after="232"/>
        <w:ind w:left="14" w:right="10"/>
      </w:pPr>
      <w:r>
        <w:t>Dodavatel je povinen poskytnout odběrateli na jeho vyžádání bezplatn</w:t>
      </w:r>
      <w:r>
        <w:t>é mimořádné vyúčtování k 31. prosinci kalendářního roku, pokud odběratel zašle dodavateli v termínu a způsobem stanoveným dodavatelem společně s vyžádáním mimořádného vyúčtování samoodečet provedený k poslednímu dni uplynulého kalendářního roku.</w:t>
      </w:r>
    </w:p>
    <w:p w:rsidR="008E4C42" w:rsidRDefault="0052680B">
      <w:pPr>
        <w:spacing w:after="232"/>
        <w:ind w:left="14" w:right="279"/>
      </w:pPr>
      <w:r>
        <w:t xml:space="preserve">Dodavatel </w:t>
      </w:r>
      <w:r>
        <w:t>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w:t>
      </w:r>
      <w:r>
        <w:t xml:space="preserve">davků na změny parametrů odběrných </w:t>
      </w:r>
      <w:proofErr w:type="gramStart"/>
      <w:r>
        <w:t>míst,</w:t>
      </w:r>
      <w:proofErr w:type="gramEnd"/>
      <w:r>
        <w:t xml:space="preserve"> apod.</w:t>
      </w:r>
    </w:p>
    <w:p w:rsidR="008E4C42" w:rsidRDefault="0052680B">
      <w:pPr>
        <w:spacing w:after="118"/>
        <w:ind w:left="14" w:right="10"/>
      </w:pPr>
      <w:r>
        <w:t>Přeplatky a nedoplatky odběratele není dodavatel oprávněn převádět do dalšího zúčtovacího období.</w:t>
      </w:r>
    </w:p>
    <w:p w:rsidR="008E4C42" w:rsidRDefault="0052680B">
      <w:pPr>
        <w:ind w:left="14" w:right="10"/>
      </w:pPr>
      <w:r>
        <w:t>Pro odběratele s požadavkem na sloučenou fakturaci (uvedeno v Příloze č. 1):</w:t>
      </w:r>
    </w:p>
    <w:p w:rsidR="008E4C42" w:rsidRDefault="0052680B">
      <w:pPr>
        <w:spacing w:after="152" w:line="217" w:lineRule="auto"/>
        <w:ind w:left="9" w:firstLine="14"/>
        <w:jc w:val="left"/>
      </w:pPr>
      <w:r>
        <w:t>Dodavatel bude odběrateli účtovat dodávku na jedné sloučené faktuře (daňovém dokladu) v listinné (papírové) i elektronické podobě ve formátu PDF s tím, že za každé odběrné místo bude provedeno vyúčtování s rozepsáním jednotlivých položek ceny spolu s uvede</w:t>
      </w:r>
      <w:r>
        <w:t>ním ceny celkem a příslušné výše DPH v % a v Kč.</w:t>
      </w:r>
    </w:p>
    <w:p w:rsidR="008E4C42" w:rsidRDefault="0052680B">
      <w:pPr>
        <w:spacing w:after="152" w:line="217" w:lineRule="auto"/>
        <w:ind w:left="9" w:firstLine="14"/>
        <w:jc w:val="left"/>
      </w:pPr>
      <w:r>
        <w:t xml:space="preserve">Dodavatel bude odběrateli předepisovat a účtovat zálohy na jednom sloučeném předpisu a sloučeném daňovém dokladu o přijetí platby v listinné (papírové) i elektronické podobě ve formátu PDF s tím, že celková </w:t>
      </w:r>
      <w:r>
        <w:t>záloha a přijatá platba bude rozepsána na dílčí zálohy za jednotlivá odběrná místa spolu s uvedením ceny celkem a příslušné výše DPH v % a v Kč.</w:t>
      </w:r>
    </w:p>
    <w:p w:rsidR="008E4C42" w:rsidRDefault="0052680B">
      <w:pPr>
        <w:ind w:left="14" w:right="10"/>
      </w:pPr>
      <w:r>
        <w:rPr>
          <w:noProof/>
        </w:rPr>
        <w:drawing>
          <wp:anchor distT="0" distB="0" distL="114300" distR="114300" simplePos="0" relativeHeight="251661312" behindDoc="0" locked="0" layoutInCell="1" allowOverlap="0">
            <wp:simplePos x="0" y="0"/>
            <wp:positionH relativeFrom="page">
              <wp:posOffset>795858</wp:posOffset>
            </wp:positionH>
            <wp:positionV relativeFrom="page">
              <wp:posOffset>161544</wp:posOffset>
            </wp:positionV>
            <wp:extent cx="597656" cy="326136"/>
            <wp:effectExtent l="0" t="0" r="0" b="0"/>
            <wp:wrapTopAndBottom/>
            <wp:docPr id="7277" name="Picture 7277"/>
            <wp:cNvGraphicFramePr/>
            <a:graphic xmlns:a="http://schemas.openxmlformats.org/drawingml/2006/main">
              <a:graphicData uri="http://schemas.openxmlformats.org/drawingml/2006/picture">
                <pic:pic xmlns:pic="http://schemas.openxmlformats.org/drawingml/2006/picture">
                  <pic:nvPicPr>
                    <pic:cNvPr id="7277" name="Picture 7277"/>
                    <pic:cNvPicPr/>
                  </pic:nvPicPr>
                  <pic:blipFill>
                    <a:blip r:embed="rId16"/>
                    <a:stretch>
                      <a:fillRect/>
                    </a:stretch>
                  </pic:blipFill>
                  <pic:spPr>
                    <a:xfrm>
                      <a:off x="0" y="0"/>
                      <a:ext cx="597656" cy="326136"/>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6839504</wp:posOffset>
            </wp:positionH>
            <wp:positionV relativeFrom="page">
              <wp:posOffset>6461760</wp:posOffset>
            </wp:positionV>
            <wp:extent cx="24394" cy="33529"/>
            <wp:effectExtent l="0" t="0" r="0" b="0"/>
            <wp:wrapSquare wrapText="bothSides"/>
            <wp:docPr id="7225" name="Picture 7225"/>
            <wp:cNvGraphicFramePr/>
            <a:graphic xmlns:a="http://schemas.openxmlformats.org/drawingml/2006/main">
              <a:graphicData uri="http://schemas.openxmlformats.org/drawingml/2006/picture">
                <pic:pic xmlns:pic="http://schemas.openxmlformats.org/drawingml/2006/picture">
                  <pic:nvPicPr>
                    <pic:cNvPr id="7225" name="Picture 7225"/>
                    <pic:cNvPicPr/>
                  </pic:nvPicPr>
                  <pic:blipFill>
                    <a:blip r:embed="rId17"/>
                    <a:stretch>
                      <a:fillRect/>
                    </a:stretch>
                  </pic:blipFill>
                  <pic:spPr>
                    <a:xfrm>
                      <a:off x="0" y="0"/>
                      <a:ext cx="24394" cy="33529"/>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640346</wp:posOffset>
            </wp:positionH>
            <wp:positionV relativeFrom="page">
              <wp:posOffset>10067544</wp:posOffset>
            </wp:positionV>
            <wp:extent cx="704380" cy="3048"/>
            <wp:effectExtent l="0" t="0" r="0" b="0"/>
            <wp:wrapTopAndBottom/>
            <wp:docPr id="7278" name="Picture 7278"/>
            <wp:cNvGraphicFramePr/>
            <a:graphic xmlns:a="http://schemas.openxmlformats.org/drawingml/2006/main">
              <a:graphicData uri="http://schemas.openxmlformats.org/drawingml/2006/picture">
                <pic:pic xmlns:pic="http://schemas.openxmlformats.org/drawingml/2006/picture">
                  <pic:nvPicPr>
                    <pic:cNvPr id="7278" name="Picture 7278"/>
                    <pic:cNvPicPr/>
                  </pic:nvPicPr>
                  <pic:blipFill>
                    <a:blip r:embed="rId18"/>
                    <a:stretch>
                      <a:fillRect/>
                    </a:stretch>
                  </pic:blipFill>
                  <pic:spPr>
                    <a:xfrm>
                      <a:off x="0" y="0"/>
                      <a:ext cx="704380" cy="3048"/>
                    </a:xfrm>
                    <a:prstGeom prst="rect">
                      <a:avLst/>
                    </a:prstGeom>
                  </pic:spPr>
                </pic:pic>
              </a:graphicData>
            </a:graphic>
          </wp:anchor>
        </w:drawing>
      </w:r>
      <w:r>
        <w:rPr>
          <w:noProof/>
        </w:rPr>
        <mc:AlternateContent>
          <mc:Choice Requires="wpg">
            <w:drawing>
              <wp:anchor distT="0" distB="0" distL="114300" distR="114300" simplePos="0" relativeHeight="251664384" behindDoc="0" locked="0" layoutInCell="1" allowOverlap="1">
                <wp:simplePos x="0" y="0"/>
                <wp:positionH relativeFrom="page">
                  <wp:posOffset>5174604</wp:posOffset>
                </wp:positionH>
                <wp:positionV relativeFrom="page">
                  <wp:posOffset>10070592</wp:posOffset>
                </wp:positionV>
                <wp:extent cx="1603913" cy="15239"/>
                <wp:effectExtent l="0" t="0" r="0" b="0"/>
                <wp:wrapTopAndBottom/>
                <wp:docPr id="54318" name="Group 54318"/>
                <wp:cNvGraphicFramePr/>
                <a:graphic xmlns:a="http://schemas.openxmlformats.org/drawingml/2006/main">
                  <a:graphicData uri="http://schemas.microsoft.com/office/word/2010/wordprocessingGroup">
                    <wpg:wgp>
                      <wpg:cNvGrpSpPr/>
                      <wpg:grpSpPr>
                        <a:xfrm>
                          <a:off x="0" y="0"/>
                          <a:ext cx="1603913" cy="15239"/>
                          <a:chOff x="0" y="0"/>
                          <a:chExt cx="1603913" cy="15239"/>
                        </a:xfrm>
                      </wpg:grpSpPr>
                      <wps:wsp>
                        <wps:cNvPr id="54317" name="Shape 54317"/>
                        <wps:cNvSpPr/>
                        <wps:spPr>
                          <a:xfrm>
                            <a:off x="0" y="0"/>
                            <a:ext cx="1603913" cy="15239"/>
                          </a:xfrm>
                          <a:custGeom>
                            <a:avLst/>
                            <a:gdLst/>
                            <a:ahLst/>
                            <a:cxnLst/>
                            <a:rect l="0" t="0" r="0" b="0"/>
                            <a:pathLst>
                              <a:path w="1603913" h="15239">
                                <a:moveTo>
                                  <a:pt x="0" y="7620"/>
                                </a:moveTo>
                                <a:lnTo>
                                  <a:pt x="1603913" y="7620"/>
                                </a:lnTo>
                              </a:path>
                            </a:pathLst>
                          </a:custGeom>
                          <a:ln w="1523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4318" style="width:126.292pt;height:1.19995pt;position:absolute;mso-position-horizontal-relative:page;mso-position-horizontal:absolute;margin-left:407.449pt;mso-position-vertical-relative:page;margin-top:792.96pt;" coordsize="16039,152">
                <v:shape id="Shape 54317" style="position:absolute;width:16039;height:152;left:0;top:0;" coordsize="1603913,15239" path="m0,7620l1603913,7620">
                  <v:stroke weight="1.19995pt" endcap="flat" joinstyle="miter" miterlimit="1" on="true" color="#000000"/>
                  <v:fill on="false" color="#000000"/>
                </v:shape>
                <w10:wrap type="topAndBottom"/>
              </v:group>
            </w:pict>
          </mc:Fallback>
        </mc:AlternateContent>
      </w:r>
      <w:r>
        <w:t>Dodavatel je povinen na výslovné vyžádání jednotlivého odběratele:</w:t>
      </w:r>
    </w:p>
    <w:p w:rsidR="008E4C42" w:rsidRDefault="0052680B">
      <w:pPr>
        <w:numPr>
          <w:ilvl w:val="0"/>
          <w:numId w:val="1"/>
        </w:numPr>
        <w:ind w:right="10"/>
      </w:pPr>
      <w:r>
        <w:t>namísto sloučené faktury používat faktur</w:t>
      </w:r>
      <w:r>
        <w:t>u na každé jednotlivé odběrné místo.</w:t>
      </w:r>
    </w:p>
    <w:p w:rsidR="008E4C42" w:rsidRDefault="0052680B">
      <w:pPr>
        <w:numPr>
          <w:ilvl w:val="0"/>
          <w:numId w:val="1"/>
        </w:numPr>
        <w:spacing w:after="145"/>
        <w:ind w:right="10"/>
      </w:pPr>
      <w:r>
        <w:t>namísto sloučeného předpisu záloh a sloučeného daňového dokladu o přijetí platby používat předpis záloh a daňový doklad o přijetí platby za každé jednotlivé odběrné místo.</w:t>
      </w:r>
    </w:p>
    <w:p w:rsidR="008E4C42" w:rsidRDefault="0052680B">
      <w:pPr>
        <w:ind w:left="14" w:right="10"/>
      </w:pPr>
      <w:r>
        <w:t>Pro odběratele s požadavkem na samostatnou fakt</w:t>
      </w:r>
      <w:r>
        <w:t>uraci (uvedeno v Příloze č. 1):</w:t>
      </w:r>
    </w:p>
    <w:p w:rsidR="008E4C42" w:rsidRDefault="0052680B">
      <w:pPr>
        <w:spacing w:after="166"/>
        <w:ind w:left="14" w:right="10"/>
      </w:pPr>
      <w:r>
        <w:t>Dodavatel bude odběrateli účtovat dodávku samostatnou fakturou v listinné (papírové) i elektronické podobě ve formátu PDF za každé odběrné místo zvlášť.</w:t>
      </w:r>
    </w:p>
    <w:p w:rsidR="008E4C42" w:rsidRDefault="0052680B">
      <w:pPr>
        <w:spacing w:after="223" w:line="217" w:lineRule="auto"/>
        <w:ind w:left="9" w:firstLine="14"/>
        <w:jc w:val="left"/>
      </w:pPr>
      <w:r>
        <w:t>Dodavatel bude odběrateli předepisovat a účtovat zálohy samostatným pře</w:t>
      </w:r>
      <w:r>
        <w:t>dpisem a samostatným daňovým dokladem o přijetí platby v listinné (papírové) i elektronické podobě ve formátu PDF za každé odběrné místo zvlášť.</w:t>
      </w:r>
    </w:p>
    <w:p w:rsidR="008E4C42" w:rsidRDefault="0052680B">
      <w:pPr>
        <w:ind w:left="14" w:right="10"/>
      </w:pPr>
      <w:r>
        <w:t>Dodavatel je povinen na výslovné vyžádání jednotlivého odběratele:</w:t>
      </w:r>
    </w:p>
    <w:p w:rsidR="008E4C42" w:rsidRDefault="0052680B">
      <w:pPr>
        <w:numPr>
          <w:ilvl w:val="0"/>
          <w:numId w:val="1"/>
        </w:numPr>
        <w:spacing w:after="0"/>
        <w:ind w:right="10"/>
      </w:pPr>
      <w:r>
        <w:t xml:space="preserve">namísto faktury za každé jednotlivé odběrné </w:t>
      </w:r>
      <w:r>
        <w:t>místo používat sloučenou fakturu s rozpisem jednotlivých odběrných míst.</w:t>
      </w:r>
    </w:p>
    <w:p w:rsidR="008E4C42" w:rsidRDefault="0052680B">
      <w:pPr>
        <w:numPr>
          <w:ilvl w:val="0"/>
          <w:numId w:val="1"/>
        </w:numPr>
        <w:spacing w:after="145"/>
        <w:ind w:right="10"/>
      </w:pPr>
      <w:r>
        <w:t>namísto předpisu záloh a daňového dokladu o přijetí platby za každé jednotlivé odběrné místo používat sloučený předpis záloh a sloučený daňový doklad o přijetí platby s rozpisem jedno</w:t>
      </w:r>
      <w:r>
        <w:t>tlivých odběrných míst.</w:t>
      </w:r>
    </w:p>
    <w:p w:rsidR="008E4C42" w:rsidRDefault="0052680B">
      <w:pPr>
        <w:spacing w:after="231"/>
        <w:ind w:left="14" w:right="10"/>
      </w:pPr>
      <w:r>
        <w:t xml:space="preserve">Dodavatel je povinen do 20 dní po skončení každého kalendářního roku poskytnout data o ročních odběrech a fakturaci na všech odběrných místech v elektronické podobě ve formátu XLS centrálnímu odběrateli, Olomoucký kraj, Jeremenkova </w:t>
      </w:r>
      <w:r>
        <w:t>1191/</w:t>
      </w:r>
      <w:proofErr w:type="gramStart"/>
      <w:r>
        <w:t>40a</w:t>
      </w:r>
      <w:proofErr w:type="gramEnd"/>
      <w:r>
        <w:t>, 779 00 Olomouc, IČO 60609460, centralninakup@olkraj.cz nebo do datové schránky.</w:t>
      </w:r>
    </w:p>
    <w:p w:rsidR="008E4C42" w:rsidRDefault="0052680B">
      <w:pPr>
        <w:ind w:left="14" w:right="187"/>
      </w:pPr>
      <w:r>
        <w:t>Dodavatel je povinen do 20 dní po skončení každého kalendářního měsíce poskytnout data o měsíčních odběrech a fakturaci na všech odběrných místech v elektronické podo</w:t>
      </w:r>
      <w:r>
        <w:t xml:space="preserve">bě ve formátu XLS, CSV centrálnímu odběrateli, Olomoucký kraj, Jeremenkova 1191/40a, 779 00 Olomouc, IČO 60609460, Ing. Marie </w:t>
      </w:r>
      <w:proofErr w:type="gramStart"/>
      <w:r>
        <w:t>Šafářová ,</w:t>
      </w:r>
      <w:proofErr w:type="gramEnd"/>
      <w:r>
        <w:t xml:space="preserve"> </w:t>
      </w:r>
      <w:r>
        <w:lastRenderedPageBreak/>
        <w:t>Ing. Roman Melo, m.safarova@olkraj.cz, r.melo@olkraj.cz, nebo na datové úložiště https:// www.energybroker.cz. Struktur</w:t>
      </w:r>
      <w:r>
        <w:t xml:space="preserve">a dat musí obsahovat minimálně EIC, IČO, číslo faktury, zúčtovací období, spotřebu v MWH, přepočtenou roční spotřebu v </w:t>
      </w:r>
      <w:proofErr w:type="spellStart"/>
      <w:r>
        <w:t>MWh</w:t>
      </w:r>
      <w:proofErr w:type="spellEnd"/>
      <w:r>
        <w:t>, rezervovanou kapacitu v tis. m3, spalné teplo objemové, objemový koeficient, cenu za plyn v Kč/</w:t>
      </w:r>
      <w:proofErr w:type="spellStart"/>
      <w:r>
        <w:t>MWh</w:t>
      </w:r>
      <w:proofErr w:type="spellEnd"/>
      <w:r>
        <w:t xml:space="preserve"> bez DPH, celkovou cenu bez DPH a </w:t>
      </w:r>
      <w:r>
        <w:t>včetně DPH.</w:t>
      </w:r>
    </w:p>
    <w:p w:rsidR="008E4C42" w:rsidRDefault="0052680B">
      <w:pPr>
        <w:pStyle w:val="Nadpis2"/>
        <w:spacing w:after="201"/>
        <w:ind w:left="19"/>
      </w:pPr>
      <w:r>
        <w:t>Dodací podmínky</w:t>
      </w:r>
    </w:p>
    <w:p w:rsidR="008E4C42" w:rsidRDefault="0052680B">
      <w:pPr>
        <w:numPr>
          <w:ilvl w:val="0"/>
          <w:numId w:val="2"/>
        </w:numPr>
        <w:spacing w:after="257"/>
        <w:ind w:right="197" w:hanging="235"/>
      </w:pPr>
      <w:r>
        <w:t>Dodavatel je povinen dodávat sjednané množství plynu do odběrného místa odběratele v rozsahu a za podmínek uzavřeného burzovního obchodu (závěrkového listu) v kvalitě podle Řádu provozovatele přepravní soustavy, ke které je odběrné místo připojeno, pokud t</w:t>
      </w:r>
      <w:r>
        <w:t>omu nebrání okolnosti vyvolané provozovatelem přepravní nebo distribuční soustavy nebo okolnosti stanovené příslušnými právními předpisy.</w:t>
      </w:r>
    </w:p>
    <w:p w:rsidR="008E4C42" w:rsidRDefault="0052680B">
      <w:pPr>
        <w:numPr>
          <w:ilvl w:val="0"/>
          <w:numId w:val="2"/>
        </w:numPr>
        <w:spacing w:after="266" w:line="217" w:lineRule="auto"/>
        <w:ind w:right="197" w:hanging="235"/>
      </w:pPr>
      <w:r>
        <w:t>Za sjednané množství plynu se považuje skutečně dodané a odebrané množství plynu v odběrném místě odběratele v maximál</w:t>
      </w:r>
      <w:r>
        <w:t xml:space="preserve">ní hodnotě ročního množství 630 </w:t>
      </w:r>
      <w:proofErr w:type="spellStart"/>
      <w:r>
        <w:t>MWh</w:t>
      </w:r>
      <w:proofErr w:type="spellEnd"/>
      <w:r>
        <w:t>. Odběratel je povinen odebírat plyn do uvedené maximální hodnoty ročního množství. Celkové množství dodávky plynu uvedené na závěrkovém listu představuje předpokládané množství dodávky plynu.</w:t>
      </w:r>
    </w:p>
    <w:p w:rsidR="008E4C42" w:rsidRDefault="0052680B">
      <w:pPr>
        <w:numPr>
          <w:ilvl w:val="0"/>
          <w:numId w:val="2"/>
        </w:numPr>
        <w:spacing w:after="237"/>
        <w:ind w:right="197" w:hanging="235"/>
      </w:pPr>
      <w:r>
        <w:t>Dodávka plynu je splněna pře</w:t>
      </w:r>
      <w:r>
        <w:t>chodem plynu z příslušné distribuční soustavy přes měřící zařízení do odběrného místa odběratele.</w:t>
      </w:r>
    </w:p>
    <w:p w:rsidR="008E4C42" w:rsidRDefault="0052680B">
      <w:pPr>
        <w:numPr>
          <w:ilvl w:val="0"/>
          <w:numId w:val="2"/>
        </w:numPr>
        <w:spacing w:after="169"/>
        <w:ind w:right="197" w:hanging="235"/>
      </w:pPr>
      <w:r>
        <w:t>Dodavatel je povinen zajistit na vlastní jméno a na vlastní účet pro odběrné místo odběratele přepravu plynu, uskladnění plynu, distribuci plynu a ostatní sou</w:t>
      </w:r>
      <w:r>
        <w:t>visející služby.</w:t>
      </w:r>
    </w:p>
    <w:p w:rsidR="008E4C42" w:rsidRDefault="0052680B">
      <w:pPr>
        <w:numPr>
          <w:ilvl w:val="0"/>
          <w:numId w:val="2"/>
        </w:numPr>
        <w:spacing w:after="258"/>
        <w:ind w:right="197" w:hanging="235"/>
      </w:pPr>
      <w:r>
        <w:t>Dodavatel je povinen ve smyslu příslušného platného právního předpisu převzít závazek odběratele odebrat plyn z plynárenské soustavy a nést plnou zodpovědnost za odchylku odběratele vztahující se k odběrnému místu odběratele. Z důvodu přen</w:t>
      </w:r>
      <w:r>
        <w:t>esení odpovědnosti za odchylku na dodavatele není odběratel oprávněn mít pro dodávku plynu do odběrného místa dle burzovního obchodu (závěrkového listu) jiného nebo více jiných dodavatelů. Odběratel se zavazuje ukončit smlouvu s předcházejícím dodavatelem,</w:t>
      </w:r>
      <w:r>
        <w:t xml:space="preserve"> pokud k tomu nezplnomocní dodavatele, který mu bude dodávat plyn na základě burzovního obchodu (závěrkového listu).</w:t>
      </w:r>
    </w:p>
    <w:p w:rsidR="008E4C42" w:rsidRDefault="0052680B">
      <w:pPr>
        <w:numPr>
          <w:ilvl w:val="0"/>
          <w:numId w:val="2"/>
        </w:numPr>
        <w:spacing w:after="234"/>
        <w:ind w:right="197" w:hanging="235"/>
      </w:pPr>
      <w:r>
        <w:rPr>
          <w:noProof/>
        </w:rPr>
        <w:drawing>
          <wp:anchor distT="0" distB="0" distL="114300" distR="114300" simplePos="0" relativeHeight="251665408" behindDoc="0" locked="0" layoutInCell="1" allowOverlap="0">
            <wp:simplePos x="0" y="0"/>
            <wp:positionH relativeFrom="page">
              <wp:posOffset>759267</wp:posOffset>
            </wp:positionH>
            <wp:positionV relativeFrom="page">
              <wp:posOffset>201168</wp:posOffset>
            </wp:positionV>
            <wp:extent cx="628149" cy="326136"/>
            <wp:effectExtent l="0" t="0" r="0" b="0"/>
            <wp:wrapTopAndBottom/>
            <wp:docPr id="11376" name="Picture 11376"/>
            <wp:cNvGraphicFramePr/>
            <a:graphic xmlns:a="http://schemas.openxmlformats.org/drawingml/2006/main">
              <a:graphicData uri="http://schemas.openxmlformats.org/drawingml/2006/picture">
                <pic:pic xmlns:pic="http://schemas.openxmlformats.org/drawingml/2006/picture">
                  <pic:nvPicPr>
                    <pic:cNvPr id="11376" name="Picture 11376"/>
                    <pic:cNvPicPr/>
                  </pic:nvPicPr>
                  <pic:blipFill>
                    <a:blip r:embed="rId19"/>
                    <a:stretch>
                      <a:fillRect/>
                    </a:stretch>
                  </pic:blipFill>
                  <pic:spPr>
                    <a:xfrm>
                      <a:off x="0" y="0"/>
                      <a:ext cx="628149" cy="326136"/>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1982023</wp:posOffset>
            </wp:positionH>
            <wp:positionV relativeFrom="page">
              <wp:posOffset>10122408</wp:posOffset>
            </wp:positionV>
            <wp:extent cx="4775151" cy="30480"/>
            <wp:effectExtent l="0" t="0" r="0" b="0"/>
            <wp:wrapTopAndBottom/>
            <wp:docPr id="54319" name="Picture 54319"/>
            <wp:cNvGraphicFramePr/>
            <a:graphic xmlns:a="http://schemas.openxmlformats.org/drawingml/2006/main">
              <a:graphicData uri="http://schemas.openxmlformats.org/drawingml/2006/picture">
                <pic:pic xmlns:pic="http://schemas.openxmlformats.org/drawingml/2006/picture">
                  <pic:nvPicPr>
                    <pic:cNvPr id="54319" name="Picture 54319"/>
                    <pic:cNvPicPr/>
                  </pic:nvPicPr>
                  <pic:blipFill>
                    <a:blip r:embed="rId20"/>
                    <a:stretch>
                      <a:fillRect/>
                    </a:stretch>
                  </pic:blipFill>
                  <pic:spPr>
                    <a:xfrm>
                      <a:off x="0" y="0"/>
                      <a:ext cx="4775151" cy="30480"/>
                    </a:xfrm>
                    <a:prstGeom prst="rect">
                      <a:avLst/>
                    </a:prstGeom>
                  </pic:spPr>
                </pic:pic>
              </a:graphicData>
            </a:graphic>
          </wp:anchor>
        </w:drawing>
      </w:r>
      <w:r>
        <w:t>Dodávka plynu se považuje za zahájenou první plynárenský den burzovním obchodem sjednaného období dodávky plynu a za ukončenou poslední p</w:t>
      </w:r>
      <w:r>
        <w:t>lynárenský den burzovním obchodem sjednaného období dodávky plynu. Odběratel je povinen nahlásit dodavateli stav měřícího zařízení v odběrném místě k prvnímu kalendářnímu dni zahájení burzovním obchodem sjednané dodávky plynu, a to nejpozději jeden kalendá</w:t>
      </w:r>
      <w:r>
        <w:t>řní den po tomto datu. V případě, že tak neučiní, bude počáteční stav měřícího zařízení stanoven provozovatelem distribuční soustavy v souladu s Řádem provozovatele distribuční soustavy. Odběratel se tímto vzdává nároku na reklamaci takového stavu měřícího</w:t>
      </w:r>
      <w:r>
        <w:t xml:space="preserve"> zařízení a takto stanovený stav měřícího zařízení plně respektuje.</w:t>
      </w:r>
    </w:p>
    <w:p w:rsidR="008E4C42" w:rsidRDefault="0052680B">
      <w:pPr>
        <w:numPr>
          <w:ilvl w:val="0"/>
          <w:numId w:val="2"/>
        </w:numPr>
        <w:spacing w:after="236"/>
        <w:ind w:right="197" w:hanging="235"/>
      </w:pPr>
      <w:r>
        <w:t>Sjednaná dodávka plynu může být omezena, pokud bude provozovatelem přepravní soustavy vyhlášen stav nouze podle příslušných platných právních předpisů. Odběratel je povinen sledovat inform</w:t>
      </w:r>
      <w:r>
        <w:t>ace o vyhlášení omezujících regulačních opatření v případě hrozícího nebo stávajícího stavu nouze v plynárenství. Dodavatel i odběratel jsou povinni v případě hrozícího nebo stávajícího stavu nouze v plynárenství postupovat podle příslušného platného právn</w:t>
      </w:r>
      <w:r>
        <w:t>ího předpisu.</w:t>
      </w:r>
    </w:p>
    <w:p w:rsidR="008E4C42" w:rsidRDefault="0052680B">
      <w:pPr>
        <w:numPr>
          <w:ilvl w:val="0"/>
          <w:numId w:val="2"/>
        </w:numPr>
        <w:spacing w:after="168"/>
        <w:ind w:right="197" w:hanging="235"/>
      </w:pPr>
      <w:r>
        <w:t>Dodavatelem dodané a odběratelem odebrané množství plynu bude v odběrném místě měřeno měřícím zařízením ve vlastnictví příslušného provozovatele distribuční soustavy, který zodpovídá za správnost naměřených údajů. O druhu, velikosti, umístění</w:t>
      </w:r>
      <w:r>
        <w:t xml:space="preserve"> a skladbě měřícího zařízení rozhoduje příslušný provozovatel distribuční soustavy. Odběratel je povinen odebírat plyn pouze přes měřidlo, které připojil provozovatel distribuční soustavy. Odběratel je povinen udržovat odběrné zařízení ve stavu, který odpo</w:t>
      </w:r>
      <w:r>
        <w:t>vídá příslušným technickým normám a platným právním předpisům a který umožňuje jeho řádný a spolehlivý provoz.</w:t>
      </w:r>
    </w:p>
    <w:p w:rsidR="008E4C42" w:rsidRDefault="0052680B">
      <w:pPr>
        <w:numPr>
          <w:ilvl w:val="0"/>
          <w:numId w:val="2"/>
        </w:numPr>
        <w:spacing w:after="175"/>
        <w:ind w:right="197" w:hanging="235"/>
      </w:pPr>
      <w:r>
        <w:t>Měření dodávek plynu včetně vyhodnocování, předávání výsledků měření a dalších nezbytných informací pro vyúčtování dodávky plynu je zajišťováno p</w:t>
      </w:r>
      <w:r>
        <w:t xml:space="preserve">říslušným provozovatelem distribuční soustavy. Naměřený </w:t>
      </w:r>
      <w:r>
        <w:lastRenderedPageBreak/>
        <w:t xml:space="preserve">objem plynu bude v souladu s platnými právními předpisy přepočítáván na vztažené podmínky a energii vyjádřenou v </w:t>
      </w:r>
      <w:proofErr w:type="spellStart"/>
      <w:r>
        <w:t>MWh</w:t>
      </w:r>
      <w:proofErr w:type="spellEnd"/>
      <w:r>
        <w:t>, resp. kWh. Rozdělení odběru plynu do jednotlivých kalendářních měsíců je stanoveno</w:t>
      </w:r>
      <w:r>
        <w:t xml:space="preserve"> v závislosti na termínu odečtu odběru plynu, který provádí příslušný provozovatel distribuční soustavy v souladu s platným Řádem provozovatele distribuční soustavy.</w:t>
      </w:r>
    </w:p>
    <w:p w:rsidR="008E4C42" w:rsidRDefault="0052680B">
      <w:pPr>
        <w:numPr>
          <w:ilvl w:val="0"/>
          <w:numId w:val="2"/>
        </w:numPr>
        <w:ind w:right="197" w:hanging="235"/>
      </w:pPr>
      <w:r>
        <w:t>Odběratel se zavazuje umožnit přístup k měřícímu zařízení na odběrném místě pro potřebu ko</w:t>
      </w:r>
      <w:r>
        <w:t>ntroly správnosti měřených údajů, provedení odečtů nebo kontroly, opravy, údržby, výměny nebo odebrání měřidla, a to rovněž při ukončení odběru nebo přerušení dodávky plynu. Odběratel je povinen zdržet se jakýchkoliv zásahů do měřidla a jeho připojení včet</w:t>
      </w:r>
      <w:r>
        <w:t>ně plomb, a zabezpečit měřidlo tak, aby nemohlo dojít</w:t>
      </w:r>
    </w:p>
    <w:p w:rsidR="008E4C42" w:rsidRDefault="0052680B">
      <w:pPr>
        <w:spacing w:after="211"/>
        <w:ind w:left="250" w:right="375"/>
      </w:pPr>
      <w:r>
        <w:t>k jeho poškození, odcizení nebo porušení plomb. Odběratel je dále povinen bez zbytečného odkladu oznámit dodavateli poškození měřícího zařízení nebo jeho plomby, případně jinou událost, která má vliv na řádnou funkci měřícího zařízení.</w:t>
      </w:r>
    </w:p>
    <w:p w:rsidR="008E4C42" w:rsidRDefault="0052680B">
      <w:pPr>
        <w:pStyle w:val="Nadpis2"/>
        <w:spacing w:after="117"/>
        <w:ind w:left="19"/>
      </w:pPr>
      <w:r>
        <w:t>Cena za dodávku komodity</w:t>
      </w:r>
    </w:p>
    <w:p w:rsidR="008E4C42" w:rsidRDefault="0052680B">
      <w:pPr>
        <w:numPr>
          <w:ilvl w:val="0"/>
          <w:numId w:val="3"/>
        </w:numPr>
        <w:spacing w:after="0"/>
        <w:ind w:left="232" w:right="5" w:hanging="221"/>
        <w:jc w:val="left"/>
      </w:pPr>
      <w:r>
        <w:t xml:space="preserve">Cena plynu je stanovena po skončení dodávky v příslušném zúčtovacím období na základě </w:t>
      </w:r>
      <w:proofErr w:type="spellStart"/>
      <w:r>
        <w:t>přičítacího</w:t>
      </w:r>
      <w:proofErr w:type="spellEnd"/>
      <w:r>
        <w:t xml:space="preserve"> koeficientu, denních cenových indexů na krátkodobém trhu s plynem organizovaném společností OTE,</w:t>
      </w:r>
    </w:p>
    <w:p w:rsidR="008E4C42" w:rsidRDefault="0052680B">
      <w:pPr>
        <w:spacing w:after="118"/>
        <w:ind w:left="250" w:right="10"/>
      </w:pPr>
      <w:r>
        <w:t>a.s. a denních spotřeb plynu.</w:t>
      </w:r>
    </w:p>
    <w:p w:rsidR="008E4C42" w:rsidRDefault="0052680B">
      <w:pPr>
        <w:numPr>
          <w:ilvl w:val="0"/>
          <w:numId w:val="3"/>
        </w:numPr>
        <w:spacing w:after="291" w:line="217" w:lineRule="auto"/>
        <w:ind w:left="232" w:right="5" w:hanging="221"/>
        <w:jc w:val="left"/>
      </w:pPr>
      <w:r>
        <w:t>Dodava</w:t>
      </w:r>
      <w:r>
        <w:t xml:space="preserve">tel je povinen určit jednotkovou cenu za dodávku komodity plyn do odběrného místa v zúčtovacím období tak, že cena 1 </w:t>
      </w:r>
      <w:proofErr w:type="spellStart"/>
      <w:r>
        <w:t>MWh</w:t>
      </w:r>
      <w:proofErr w:type="spellEnd"/>
      <w:r>
        <w:t xml:space="preserve"> komodity plyn je rovna součtu hodnoty </w:t>
      </w:r>
      <w:proofErr w:type="spellStart"/>
      <w:r>
        <w:t>přičítacího</w:t>
      </w:r>
      <w:proofErr w:type="spellEnd"/>
      <w:r>
        <w:t xml:space="preserve"> koeficientu a váženého aritmetického průměru součinů denních cenových indexů plynu na</w:t>
      </w:r>
      <w:r>
        <w:t xml:space="preserve"> krátkodobém trhu s plynem organizovaném společností OTE, a.s. (Index OTE) přepočtených kurzem CZK/EUR a denních spotřeb plynu v odběrném místě dle vzorce:</w:t>
      </w:r>
    </w:p>
    <w:p w:rsidR="008E4C42" w:rsidRDefault="0052680B">
      <w:pPr>
        <w:spacing w:after="0" w:line="259" w:lineRule="auto"/>
        <w:ind w:firstLine="0"/>
        <w:jc w:val="right"/>
      </w:pPr>
      <w:r>
        <w:rPr>
          <w:sz w:val="20"/>
        </w:rPr>
        <w:t>E Index OTE [EUR/</w:t>
      </w:r>
      <w:proofErr w:type="spellStart"/>
      <w:proofErr w:type="gramStart"/>
      <w:r>
        <w:rPr>
          <w:sz w:val="20"/>
        </w:rPr>
        <w:t>MWh</w:t>
      </w:r>
      <w:proofErr w:type="spellEnd"/>
      <w:r>
        <w:rPr>
          <w:sz w:val="20"/>
        </w:rPr>
        <w:t>]i</w:t>
      </w:r>
      <w:proofErr w:type="gramEnd"/>
      <w:r>
        <w:rPr>
          <w:sz w:val="20"/>
        </w:rPr>
        <w:t xml:space="preserve"> * kurz CZK/</w:t>
      </w:r>
      <w:proofErr w:type="spellStart"/>
      <w:r>
        <w:rPr>
          <w:sz w:val="20"/>
        </w:rPr>
        <w:t>EURi</w:t>
      </w:r>
      <w:proofErr w:type="spellEnd"/>
      <w:r>
        <w:rPr>
          <w:sz w:val="20"/>
        </w:rPr>
        <w:t xml:space="preserve"> * spotřeba plynu [</w:t>
      </w:r>
      <w:proofErr w:type="spellStart"/>
      <w:r>
        <w:rPr>
          <w:sz w:val="20"/>
        </w:rPr>
        <w:t>MWh</w:t>
      </w:r>
      <w:proofErr w:type="spellEnd"/>
      <w:r>
        <w:rPr>
          <w:sz w:val="20"/>
        </w:rPr>
        <w:t>] i</w:t>
      </w:r>
    </w:p>
    <w:p w:rsidR="008E4C42" w:rsidRDefault="0052680B">
      <w:pPr>
        <w:spacing w:after="0" w:line="248" w:lineRule="auto"/>
        <w:ind w:left="284" w:right="-764" w:hanging="10"/>
        <w:jc w:val="left"/>
      </w:pPr>
      <w:r>
        <w:rPr>
          <w:sz w:val="20"/>
        </w:rPr>
        <w:t xml:space="preserve">Cena 1 </w:t>
      </w:r>
      <w:proofErr w:type="spellStart"/>
      <w:r>
        <w:rPr>
          <w:sz w:val="20"/>
        </w:rPr>
        <w:t>MWh</w:t>
      </w:r>
      <w:proofErr w:type="spellEnd"/>
      <w:r>
        <w:rPr>
          <w:noProof/>
        </w:rPr>
        <w:drawing>
          <wp:inline distT="0" distB="0" distL="0" distR="0">
            <wp:extent cx="60986" cy="39624"/>
            <wp:effectExtent l="0" t="0" r="0" b="0"/>
            <wp:docPr id="54322" name="Picture 54322"/>
            <wp:cNvGraphicFramePr/>
            <a:graphic xmlns:a="http://schemas.openxmlformats.org/drawingml/2006/main">
              <a:graphicData uri="http://schemas.openxmlformats.org/drawingml/2006/picture">
                <pic:pic xmlns:pic="http://schemas.openxmlformats.org/drawingml/2006/picture">
                  <pic:nvPicPr>
                    <pic:cNvPr id="54322" name="Picture 54322"/>
                    <pic:cNvPicPr/>
                  </pic:nvPicPr>
                  <pic:blipFill>
                    <a:blip r:embed="rId21"/>
                    <a:stretch>
                      <a:fillRect/>
                    </a:stretch>
                  </pic:blipFill>
                  <pic:spPr>
                    <a:xfrm>
                      <a:off x="0" y="0"/>
                      <a:ext cx="60986" cy="39624"/>
                    </a:xfrm>
                    <a:prstGeom prst="rect">
                      <a:avLst/>
                    </a:prstGeom>
                  </pic:spPr>
                </pic:pic>
              </a:graphicData>
            </a:graphic>
          </wp:inline>
        </w:drawing>
      </w:r>
      <w:proofErr w:type="spellStart"/>
      <w:r>
        <w:rPr>
          <w:sz w:val="20"/>
        </w:rPr>
        <w:t>přičítací</w:t>
      </w:r>
      <w:proofErr w:type="spellEnd"/>
      <w:r>
        <w:rPr>
          <w:sz w:val="20"/>
        </w:rPr>
        <w:t xml:space="preserve"> koeficient + </w:t>
      </w:r>
      <w:r>
        <w:rPr>
          <w:noProof/>
        </w:rPr>
        <w:drawing>
          <wp:inline distT="0" distB="0" distL="0" distR="0">
            <wp:extent cx="3915258" cy="131064"/>
            <wp:effectExtent l="0" t="0" r="0" b="0"/>
            <wp:docPr id="15105" name="Picture 15105"/>
            <wp:cNvGraphicFramePr/>
            <a:graphic xmlns:a="http://schemas.openxmlformats.org/drawingml/2006/main">
              <a:graphicData uri="http://schemas.openxmlformats.org/drawingml/2006/picture">
                <pic:pic xmlns:pic="http://schemas.openxmlformats.org/drawingml/2006/picture">
                  <pic:nvPicPr>
                    <pic:cNvPr id="15105" name="Picture 15105"/>
                    <pic:cNvPicPr/>
                  </pic:nvPicPr>
                  <pic:blipFill>
                    <a:blip r:embed="rId22"/>
                    <a:stretch>
                      <a:fillRect/>
                    </a:stretch>
                  </pic:blipFill>
                  <pic:spPr>
                    <a:xfrm>
                      <a:off x="0" y="0"/>
                      <a:ext cx="3915258" cy="131064"/>
                    </a:xfrm>
                    <a:prstGeom prst="rect">
                      <a:avLst/>
                    </a:prstGeom>
                  </pic:spPr>
                </pic:pic>
              </a:graphicData>
            </a:graphic>
          </wp:inline>
        </w:drawing>
      </w:r>
      <w:r>
        <w:rPr>
          <w:sz w:val="20"/>
        </w:rPr>
        <w:t>k</w:t>
      </w:r>
      <w:r>
        <w:rPr>
          <w:sz w:val="20"/>
        </w:rPr>
        <w:t>omodity plyn</w:t>
      </w:r>
      <w:r>
        <w:rPr>
          <w:sz w:val="20"/>
        </w:rPr>
        <w:tab/>
        <w:t>[CZK/</w:t>
      </w:r>
      <w:proofErr w:type="spellStart"/>
      <w:r>
        <w:rPr>
          <w:sz w:val="20"/>
        </w:rPr>
        <w:t>MWh</w:t>
      </w:r>
      <w:proofErr w:type="spellEnd"/>
      <w:r>
        <w:rPr>
          <w:sz w:val="20"/>
        </w:rPr>
        <w:t>]</w:t>
      </w:r>
      <w:r>
        <w:rPr>
          <w:sz w:val="20"/>
        </w:rPr>
        <w:tab/>
        <w:t>n</w:t>
      </w:r>
    </w:p>
    <w:p w:rsidR="008E4C42" w:rsidRDefault="0052680B">
      <w:pPr>
        <w:spacing w:after="108" w:line="259" w:lineRule="auto"/>
        <w:ind w:left="3645" w:firstLine="0"/>
        <w:jc w:val="center"/>
      </w:pPr>
      <w:r>
        <w:rPr>
          <w:sz w:val="20"/>
        </w:rPr>
        <w:t>E spotřeba plynu [</w:t>
      </w:r>
      <w:proofErr w:type="spellStart"/>
      <w:r>
        <w:rPr>
          <w:sz w:val="20"/>
        </w:rPr>
        <w:t>MWh</w:t>
      </w:r>
      <w:proofErr w:type="spellEnd"/>
      <w:r>
        <w:rPr>
          <w:sz w:val="20"/>
        </w:rPr>
        <w:t>] i</w:t>
      </w:r>
    </w:p>
    <w:p w:rsidR="008E4C42" w:rsidRDefault="0052680B">
      <w:pPr>
        <w:ind w:left="485" w:right="10"/>
      </w:pPr>
      <w:r>
        <w:t>kde i = den 1 až n v zúčtovacím období</w:t>
      </w:r>
    </w:p>
    <w:p w:rsidR="008E4C42" w:rsidRDefault="0052680B">
      <w:pPr>
        <w:spacing w:after="73"/>
        <w:ind w:left="471" w:right="10"/>
      </w:pPr>
      <w:r>
        <w:t>Indexem OTE je cena plynu na vnitrodenním trhu s plynem organizovaném společností OTE, a.s., zveřejněná pro příslušný den na www.ote-cr.cz.</w:t>
      </w:r>
    </w:p>
    <w:p w:rsidR="008E4C42" w:rsidRDefault="0052680B">
      <w:pPr>
        <w:spacing w:after="0"/>
        <w:ind w:left="471" w:right="370"/>
      </w:pPr>
      <w:r>
        <w:t>Kurzem CZK/EUR je hodnota směnného kurzu devizového trhu vyhlašovaná Českou národní bankou pro příslušný den. V případě, že pro příslušný den není hodnota kurzu uvedena, použije se hodnota z nejbližšího předcházejícího dne.</w:t>
      </w:r>
    </w:p>
    <w:p w:rsidR="008E4C42" w:rsidRDefault="0052680B">
      <w:pPr>
        <w:spacing w:after="60" w:line="217" w:lineRule="auto"/>
        <w:ind w:left="471" w:right="298" w:firstLine="10"/>
        <w:jc w:val="left"/>
      </w:pPr>
      <w:r>
        <w:rPr>
          <w:noProof/>
        </w:rPr>
        <w:drawing>
          <wp:anchor distT="0" distB="0" distL="114300" distR="114300" simplePos="0" relativeHeight="251667456" behindDoc="0" locked="0" layoutInCell="1" allowOverlap="0">
            <wp:simplePos x="0" y="0"/>
            <wp:positionH relativeFrom="page">
              <wp:posOffset>783661</wp:posOffset>
            </wp:positionH>
            <wp:positionV relativeFrom="page">
              <wp:posOffset>167640</wp:posOffset>
            </wp:positionV>
            <wp:extent cx="600706" cy="326136"/>
            <wp:effectExtent l="0" t="0" r="0" b="0"/>
            <wp:wrapTopAndBottom/>
            <wp:docPr id="15106" name="Picture 15106"/>
            <wp:cNvGraphicFramePr/>
            <a:graphic xmlns:a="http://schemas.openxmlformats.org/drawingml/2006/main">
              <a:graphicData uri="http://schemas.openxmlformats.org/drawingml/2006/picture">
                <pic:pic xmlns:pic="http://schemas.openxmlformats.org/drawingml/2006/picture">
                  <pic:nvPicPr>
                    <pic:cNvPr id="15106" name="Picture 15106"/>
                    <pic:cNvPicPr/>
                  </pic:nvPicPr>
                  <pic:blipFill>
                    <a:blip r:embed="rId23"/>
                    <a:stretch>
                      <a:fillRect/>
                    </a:stretch>
                  </pic:blipFill>
                  <pic:spPr>
                    <a:xfrm>
                      <a:off x="0" y="0"/>
                      <a:ext cx="600706" cy="326136"/>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6839504</wp:posOffset>
            </wp:positionH>
            <wp:positionV relativeFrom="page">
              <wp:posOffset>6458712</wp:posOffset>
            </wp:positionV>
            <wp:extent cx="24394" cy="33528"/>
            <wp:effectExtent l="0" t="0" r="0" b="0"/>
            <wp:wrapSquare wrapText="bothSides"/>
            <wp:docPr id="15052" name="Picture 15052"/>
            <wp:cNvGraphicFramePr/>
            <a:graphic xmlns:a="http://schemas.openxmlformats.org/drawingml/2006/main">
              <a:graphicData uri="http://schemas.openxmlformats.org/drawingml/2006/picture">
                <pic:pic xmlns:pic="http://schemas.openxmlformats.org/drawingml/2006/picture">
                  <pic:nvPicPr>
                    <pic:cNvPr id="15052" name="Picture 15052"/>
                    <pic:cNvPicPr/>
                  </pic:nvPicPr>
                  <pic:blipFill>
                    <a:blip r:embed="rId24"/>
                    <a:stretch>
                      <a:fillRect/>
                    </a:stretch>
                  </pic:blipFill>
                  <pic:spPr>
                    <a:xfrm>
                      <a:off x="0" y="0"/>
                      <a:ext cx="24394" cy="33528"/>
                    </a:xfrm>
                    <a:prstGeom prst="rect">
                      <a:avLst/>
                    </a:prstGeom>
                  </pic:spPr>
                </pic:pic>
              </a:graphicData>
            </a:graphic>
          </wp:anchor>
        </w:drawing>
      </w:r>
      <w:r>
        <w:rPr>
          <w:noProof/>
        </w:rPr>
        <mc:AlternateContent>
          <mc:Choice Requires="wpg">
            <w:drawing>
              <wp:anchor distT="0" distB="0" distL="114300" distR="114300" simplePos="0" relativeHeight="251669504" behindDoc="0" locked="0" layoutInCell="1" allowOverlap="1">
                <wp:simplePos x="0" y="0"/>
                <wp:positionH relativeFrom="page">
                  <wp:posOffset>5177653</wp:posOffset>
                </wp:positionH>
                <wp:positionV relativeFrom="page">
                  <wp:posOffset>10070592</wp:posOffset>
                </wp:positionV>
                <wp:extent cx="1603914" cy="15239"/>
                <wp:effectExtent l="0" t="0" r="0" b="0"/>
                <wp:wrapTopAndBottom/>
                <wp:docPr id="54325" name="Group 54325"/>
                <wp:cNvGraphicFramePr/>
                <a:graphic xmlns:a="http://schemas.openxmlformats.org/drawingml/2006/main">
                  <a:graphicData uri="http://schemas.microsoft.com/office/word/2010/wordprocessingGroup">
                    <wpg:wgp>
                      <wpg:cNvGrpSpPr/>
                      <wpg:grpSpPr>
                        <a:xfrm>
                          <a:off x="0" y="0"/>
                          <a:ext cx="1603914" cy="15239"/>
                          <a:chOff x="0" y="0"/>
                          <a:chExt cx="1603914" cy="15239"/>
                        </a:xfrm>
                      </wpg:grpSpPr>
                      <wps:wsp>
                        <wps:cNvPr id="54324" name="Shape 54324"/>
                        <wps:cNvSpPr/>
                        <wps:spPr>
                          <a:xfrm>
                            <a:off x="0" y="0"/>
                            <a:ext cx="1603914" cy="15239"/>
                          </a:xfrm>
                          <a:custGeom>
                            <a:avLst/>
                            <a:gdLst/>
                            <a:ahLst/>
                            <a:cxnLst/>
                            <a:rect l="0" t="0" r="0" b="0"/>
                            <a:pathLst>
                              <a:path w="1603914" h="15239">
                                <a:moveTo>
                                  <a:pt x="0" y="7620"/>
                                </a:moveTo>
                                <a:lnTo>
                                  <a:pt x="1603914" y="7620"/>
                                </a:lnTo>
                              </a:path>
                            </a:pathLst>
                          </a:custGeom>
                          <a:ln w="1523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4325" style="width:126.292pt;height:1.19995pt;position:absolute;mso-position-horizontal-relative:page;mso-position-horizontal:absolute;margin-left:407.689pt;mso-position-vertical-relative:page;margin-top:792.96pt;" coordsize="16039,152">
                <v:shape id="Shape 54324" style="position:absolute;width:16039;height:152;left:0;top:0;" coordsize="1603914,15239" path="m0,7620l1603914,7620">
                  <v:stroke weight="1.19995pt" endcap="flat" joinstyle="miter" miterlimit="1" on="true" color="#000000"/>
                  <v:fill on="false" color="#000000"/>
                </v:shape>
                <w10:wrap type="topAndBottom"/>
              </v:group>
            </w:pict>
          </mc:Fallback>
        </mc:AlternateContent>
      </w:r>
      <w:r>
        <w:rPr>
          <w:noProof/>
        </w:rPr>
        <w:drawing>
          <wp:anchor distT="0" distB="0" distL="114300" distR="114300" simplePos="0" relativeHeight="251670528" behindDoc="0" locked="0" layoutInCell="1" allowOverlap="0">
            <wp:simplePos x="0" y="0"/>
            <wp:positionH relativeFrom="page">
              <wp:posOffset>1359972</wp:posOffset>
            </wp:positionH>
            <wp:positionV relativeFrom="page">
              <wp:posOffset>10073640</wp:posOffset>
            </wp:positionV>
            <wp:extent cx="344567" cy="18288"/>
            <wp:effectExtent l="0" t="0" r="0" b="0"/>
            <wp:wrapTopAndBottom/>
            <wp:docPr id="15108" name="Picture 15108"/>
            <wp:cNvGraphicFramePr/>
            <a:graphic xmlns:a="http://schemas.openxmlformats.org/drawingml/2006/main">
              <a:graphicData uri="http://schemas.openxmlformats.org/drawingml/2006/picture">
                <pic:pic xmlns:pic="http://schemas.openxmlformats.org/drawingml/2006/picture">
                  <pic:nvPicPr>
                    <pic:cNvPr id="15108" name="Picture 15108"/>
                    <pic:cNvPicPr/>
                  </pic:nvPicPr>
                  <pic:blipFill>
                    <a:blip r:embed="rId25"/>
                    <a:stretch>
                      <a:fillRect/>
                    </a:stretch>
                  </pic:blipFill>
                  <pic:spPr>
                    <a:xfrm>
                      <a:off x="0" y="0"/>
                      <a:ext cx="344567" cy="18288"/>
                    </a:xfrm>
                    <a:prstGeom prst="rect">
                      <a:avLst/>
                    </a:prstGeom>
                  </pic:spPr>
                </pic:pic>
              </a:graphicData>
            </a:graphic>
          </wp:anchor>
        </w:drawing>
      </w:r>
      <w:r>
        <w:t xml:space="preserve">Spotřebou plynu je množství </w:t>
      </w:r>
      <w:r>
        <w:t>plynu odebrané v odběrném místě v příslušném dni. U odběrného místa s průběhovým měřením odpovídá spotřeba plynu skutečně naměřenému množství plynu odebranému v příslušném dni. U odběrného místa s neprůběhovým měřením odpovídá spotřeba plynu skutečně naměř</w:t>
      </w:r>
      <w:r>
        <w:t>enému množství plynu odebranému v zúčtovacím období rozloženému do příslušných dnů dle přiděleného teplotně přepočteného typového diagramu dodávky plynu (TDD), přičemž dodavatel je povinen odběrateli na jeho vyžádání sdělit přidělený typový diagram dodávky</w:t>
      </w:r>
      <w:r>
        <w:t xml:space="preserve"> plynu.</w:t>
      </w:r>
    </w:p>
    <w:p w:rsidR="008E4C42" w:rsidRDefault="0052680B">
      <w:pPr>
        <w:spacing w:after="224"/>
        <w:ind w:left="480" w:right="10"/>
      </w:pPr>
      <w:r>
        <w:t xml:space="preserve">Hodnota </w:t>
      </w:r>
      <w:proofErr w:type="spellStart"/>
      <w:r>
        <w:t>přičítacího</w:t>
      </w:r>
      <w:proofErr w:type="spellEnd"/>
      <w:r>
        <w:t xml:space="preserve"> koeficientu je stanovena burzovním obchodem (závěrkovým listem).</w:t>
      </w:r>
    </w:p>
    <w:p w:rsidR="008E4C42" w:rsidRDefault="0052680B">
      <w:pPr>
        <w:numPr>
          <w:ilvl w:val="0"/>
          <w:numId w:val="4"/>
        </w:numPr>
        <w:spacing w:after="207"/>
        <w:ind w:right="50"/>
        <w:jc w:val="left"/>
      </w:pPr>
      <w:r>
        <w:t xml:space="preserve">Výsledná jednotková cena dodávky komodity plyn (cena za 1 </w:t>
      </w:r>
      <w:proofErr w:type="spellStart"/>
      <w:r>
        <w:t>MWh</w:t>
      </w:r>
      <w:proofErr w:type="spellEnd"/>
      <w:r>
        <w:t>), bude dodavatelem účtována za dodávku komodity plyn do odběrného místa v příslušném zúčtovacím obdob</w:t>
      </w:r>
      <w:r>
        <w:t>í a je pro dodávku komodity plyn do odběrného místa v příslušném zúčtovací období jednotkovou cenou konečnou, neměnnou a závaznou.</w:t>
      </w:r>
    </w:p>
    <w:p w:rsidR="008E4C42" w:rsidRDefault="0052680B">
      <w:pPr>
        <w:numPr>
          <w:ilvl w:val="0"/>
          <w:numId w:val="4"/>
        </w:numPr>
        <w:spacing w:after="239" w:line="217" w:lineRule="auto"/>
        <w:ind w:right="50"/>
        <w:jc w:val="left"/>
      </w:pPr>
      <w:r>
        <w:t>Dodavatel je povinen poskytnout odběrateli ke každému zúčtovacímu období detailní určení výsledné jednotkové ceny dodávky kom</w:t>
      </w:r>
      <w:r>
        <w:t xml:space="preserve">odity plyn do odběrného místa (rozpis denních Indexů OTE, kurzu CZK/ </w:t>
      </w:r>
      <w:proofErr w:type="gramStart"/>
      <w:r>
        <w:t>EUR,</w:t>
      </w:r>
      <w:proofErr w:type="gramEnd"/>
      <w:r>
        <w:t xml:space="preserve"> atd.), a to způsobem standardně u dodavatele používaným (příloha faktury, zveřejnění na webových stránkách dodavatele, apod.).</w:t>
      </w:r>
    </w:p>
    <w:p w:rsidR="008E4C42" w:rsidRDefault="0052680B">
      <w:pPr>
        <w:pStyle w:val="Nadpis2"/>
        <w:ind w:left="19"/>
      </w:pPr>
      <w:r>
        <w:t>Platební podmínky</w:t>
      </w:r>
    </w:p>
    <w:p w:rsidR="008E4C42" w:rsidRDefault="0052680B">
      <w:pPr>
        <w:numPr>
          <w:ilvl w:val="0"/>
          <w:numId w:val="5"/>
        </w:numPr>
        <w:ind w:right="77" w:hanging="230"/>
      </w:pPr>
      <w:r>
        <w:t>Odběratel je povinen zaplatit dodavat</w:t>
      </w:r>
      <w:r>
        <w:t>eli za dodávku plynu cenu, která je tvořena:</w:t>
      </w:r>
    </w:p>
    <w:p w:rsidR="008E4C42" w:rsidRDefault="0052680B">
      <w:pPr>
        <w:numPr>
          <w:ilvl w:val="1"/>
          <w:numId w:val="5"/>
        </w:numPr>
        <w:spacing w:after="0" w:line="217" w:lineRule="auto"/>
        <w:ind w:left="465" w:right="96" w:hanging="230"/>
        <w:jc w:val="left"/>
      </w:pPr>
      <w:r>
        <w:lastRenderedPageBreak/>
        <w:t xml:space="preserve">cenou za dodávku komodity plyn určenou na základě </w:t>
      </w:r>
      <w:proofErr w:type="spellStart"/>
      <w:r>
        <w:t>přičítacího</w:t>
      </w:r>
      <w:proofErr w:type="spellEnd"/>
      <w:r>
        <w:t xml:space="preserve"> koeficientu, který je stanoven burzovním obchodem (závěrkovým listem), denních cenových indexů na krátkodobém trhu s plynem organizovaném společností</w:t>
      </w:r>
      <w:r>
        <w:t xml:space="preserve"> OTE, a.s. a denních spotřeb plynu,</w:t>
      </w:r>
    </w:p>
    <w:p w:rsidR="008E4C42" w:rsidRDefault="0052680B">
      <w:pPr>
        <w:numPr>
          <w:ilvl w:val="1"/>
          <w:numId w:val="5"/>
        </w:numPr>
        <w:ind w:left="465" w:right="96" w:hanging="230"/>
        <w:jc w:val="left"/>
      </w:pPr>
      <w:r>
        <w:t>pevnou kapacitní složkou ceny</w:t>
      </w:r>
    </w:p>
    <w:p w:rsidR="008E4C42" w:rsidRDefault="0052680B">
      <w:pPr>
        <w:numPr>
          <w:ilvl w:val="1"/>
          <w:numId w:val="5"/>
        </w:numPr>
        <w:spacing w:after="152" w:line="217" w:lineRule="auto"/>
        <w:ind w:left="465" w:right="96" w:hanging="230"/>
        <w:jc w:val="left"/>
      </w:pPr>
      <w:r>
        <w:t>cenou za přepravu plynu, uskladnění plynu, distribuci plynu a související služby stanovenou v souladu se všeobecně závaznými právními předpisy, zejména cenovými rozhodnutími příslušných sprá</w:t>
      </w:r>
      <w:r>
        <w:t>vních a regulačních orgánů.</w:t>
      </w:r>
    </w:p>
    <w:p w:rsidR="008E4C42" w:rsidRDefault="0052680B">
      <w:pPr>
        <w:numPr>
          <w:ilvl w:val="0"/>
          <w:numId w:val="5"/>
        </w:numPr>
        <w:ind w:right="77" w:hanging="230"/>
      </w:pPr>
      <w:r>
        <w:t>Dodávky plynu se v průběhu zúčtovacího období vyúčtovávají fakturami, které musí mít náležitosti daňových dokladů podle příslušných právních předpisů.</w:t>
      </w:r>
    </w:p>
    <w:p w:rsidR="008E4C42" w:rsidRDefault="0052680B">
      <w:pPr>
        <w:numPr>
          <w:ilvl w:val="0"/>
          <w:numId w:val="5"/>
        </w:numPr>
        <w:spacing w:after="188"/>
        <w:ind w:right="77" w:hanging="230"/>
      </w:pPr>
      <w:r>
        <w:t xml:space="preserve">K účtované ceně dodávky plynu se připočítává daň z plynu, daň z přidané hodnoty, poplatky a jiné nepřímé daně stanovené v souladu s příslušnými právními předpisy. Odběratel je povinen předložit dodavateli doklady, na </w:t>
      </w:r>
      <w:proofErr w:type="gramStart"/>
      <w:r>
        <w:t>základě</w:t>
      </w:r>
      <w:proofErr w:type="gramEnd"/>
      <w:r>
        <w:t xml:space="preserve"> kterých uplatňuje osvobození od</w:t>
      </w:r>
      <w:r>
        <w:t xml:space="preserve"> příslušné daně. Zároveň je odběratel povinen v případě změny, zániku či zrušení příslušného dokladu, na </w:t>
      </w:r>
      <w:proofErr w:type="gramStart"/>
      <w:r>
        <w:t>základě</w:t>
      </w:r>
      <w:proofErr w:type="gramEnd"/>
      <w:r>
        <w:t xml:space="preserve"> kterého uplatňuje osvobození dle předchozí věty, tuto skutečnost dodavateli oznámit, a to bez zbytečného odkladu, nejdéle však do druhého praco</w:t>
      </w:r>
      <w:r>
        <w:t>vního dne ode dne změny, zániku nebo zrušení tohoto dokladu, na základě kterého uplatňuje osvobození. Odběratel je odpovědný za škodu, která vznikne dodavateli porušením povinnosti zákazníka uvedené v předchozí větě.</w:t>
      </w:r>
    </w:p>
    <w:p w:rsidR="008E4C42" w:rsidRDefault="0052680B">
      <w:pPr>
        <w:numPr>
          <w:ilvl w:val="0"/>
          <w:numId w:val="5"/>
        </w:numPr>
        <w:spacing w:after="147"/>
        <w:ind w:right="77" w:hanging="230"/>
      </w:pPr>
      <w:r>
        <w:t>V průběhu zúčtovacího období hradí odbě</w:t>
      </w:r>
      <w:r>
        <w:t>ratel dodavateli za dodávky plynu pravidelné zálohy, pokud není burzovním obchodem sjednáno jinak. Jejich výše je určena podle celkové předpokládané platby odběratele za příslušné fakturační období včetně daně z přidané hodnoty. Dodavatel je povinen po uza</w:t>
      </w:r>
      <w:r>
        <w:t>vření burzovního obchodu (závěrkového listu) vystavit odběrateli v souladu s podmínkami uzavřeného burzovního obchodu (závěrkového listu) platební kalendář s uvedením počtu, výše a splatnosti záloh.</w:t>
      </w:r>
    </w:p>
    <w:p w:rsidR="008E4C42" w:rsidRDefault="0052680B">
      <w:pPr>
        <w:numPr>
          <w:ilvl w:val="0"/>
          <w:numId w:val="5"/>
        </w:numPr>
        <w:spacing w:after="146"/>
        <w:ind w:right="77" w:hanging="230"/>
      </w:pPr>
      <w:r>
        <w:t>Zálohy zaplacené odběratelem na příslušné zúčtovací obdob</w:t>
      </w:r>
      <w:r>
        <w:t>í budou dodavatelem vypořádány ve faktuře za zúčtovací období. Rozdíl ve faktuře mezi vyúčtovanou částkou a zaplacenými zálohami, který je nedoplatkem odběratele, je odběratel povinen zaplatit dodavateli v termínu splatnosti faktury. Rozdíl ve faktuře mezi</w:t>
      </w:r>
      <w:r>
        <w:t xml:space="preserve"> vyúčtovanou částkou a zaplacenými zálohami, který je přeplatkem odběratele, dodavatel vrátí odběrateli v termínu splatnosti faktury na bankovní účet odběratele uvedený v závěrkovém listu s použitím variabilního symbolu uvedeného na faktuře. Pokud není bur</w:t>
      </w:r>
      <w:r>
        <w:t>zovním obchodem sjednáno jinak, je dodavatel oprávněn přeplatky a nedoplatky odběratele převádět do dalšího zúčtovacího období, dále je oprávněn započítat přeplatek odběratele na úhradu záloh v dalším zúčtovacím období, přičemž převod a započtení těchto čá</w:t>
      </w:r>
      <w:r>
        <w:t>stek je povinen vždy oznámit odběrateli.</w:t>
      </w:r>
    </w:p>
    <w:p w:rsidR="008E4C42" w:rsidRDefault="0052680B">
      <w:pPr>
        <w:numPr>
          <w:ilvl w:val="0"/>
          <w:numId w:val="5"/>
        </w:numPr>
        <w:spacing w:after="131"/>
        <w:ind w:right="77" w:hanging="230"/>
      </w:pPr>
      <w:r>
        <w:rPr>
          <w:noProof/>
        </w:rPr>
        <w:drawing>
          <wp:anchor distT="0" distB="0" distL="114300" distR="114300" simplePos="0" relativeHeight="251671552" behindDoc="0" locked="0" layoutInCell="1" allowOverlap="0">
            <wp:simplePos x="0" y="0"/>
            <wp:positionH relativeFrom="page">
              <wp:posOffset>719627</wp:posOffset>
            </wp:positionH>
            <wp:positionV relativeFrom="page">
              <wp:posOffset>195072</wp:posOffset>
            </wp:positionV>
            <wp:extent cx="661691" cy="323088"/>
            <wp:effectExtent l="0" t="0" r="0" b="0"/>
            <wp:wrapTopAndBottom/>
            <wp:docPr id="19189" name="Picture 19189"/>
            <wp:cNvGraphicFramePr/>
            <a:graphic xmlns:a="http://schemas.openxmlformats.org/drawingml/2006/main">
              <a:graphicData uri="http://schemas.openxmlformats.org/drawingml/2006/picture">
                <pic:pic xmlns:pic="http://schemas.openxmlformats.org/drawingml/2006/picture">
                  <pic:nvPicPr>
                    <pic:cNvPr id="19189" name="Picture 19189"/>
                    <pic:cNvPicPr/>
                  </pic:nvPicPr>
                  <pic:blipFill>
                    <a:blip r:embed="rId26"/>
                    <a:stretch>
                      <a:fillRect/>
                    </a:stretch>
                  </pic:blipFill>
                  <pic:spPr>
                    <a:xfrm>
                      <a:off x="0" y="0"/>
                      <a:ext cx="661691" cy="323088"/>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2003368</wp:posOffset>
            </wp:positionH>
            <wp:positionV relativeFrom="page">
              <wp:posOffset>10113264</wp:posOffset>
            </wp:positionV>
            <wp:extent cx="1006258" cy="15240"/>
            <wp:effectExtent l="0" t="0" r="0" b="0"/>
            <wp:wrapTopAndBottom/>
            <wp:docPr id="19191" name="Picture 19191"/>
            <wp:cNvGraphicFramePr/>
            <a:graphic xmlns:a="http://schemas.openxmlformats.org/drawingml/2006/main">
              <a:graphicData uri="http://schemas.openxmlformats.org/drawingml/2006/picture">
                <pic:pic xmlns:pic="http://schemas.openxmlformats.org/drawingml/2006/picture">
                  <pic:nvPicPr>
                    <pic:cNvPr id="19191" name="Picture 19191"/>
                    <pic:cNvPicPr/>
                  </pic:nvPicPr>
                  <pic:blipFill>
                    <a:blip r:embed="rId27"/>
                    <a:stretch>
                      <a:fillRect/>
                    </a:stretch>
                  </pic:blipFill>
                  <pic:spPr>
                    <a:xfrm>
                      <a:off x="0" y="0"/>
                      <a:ext cx="1006258" cy="15240"/>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3470065</wp:posOffset>
            </wp:positionH>
            <wp:positionV relativeFrom="page">
              <wp:posOffset>10113264</wp:posOffset>
            </wp:positionV>
            <wp:extent cx="3308452" cy="21336"/>
            <wp:effectExtent l="0" t="0" r="0" b="0"/>
            <wp:wrapTopAndBottom/>
            <wp:docPr id="54326" name="Picture 54326"/>
            <wp:cNvGraphicFramePr/>
            <a:graphic xmlns:a="http://schemas.openxmlformats.org/drawingml/2006/main">
              <a:graphicData uri="http://schemas.openxmlformats.org/drawingml/2006/picture">
                <pic:pic xmlns:pic="http://schemas.openxmlformats.org/drawingml/2006/picture">
                  <pic:nvPicPr>
                    <pic:cNvPr id="54326" name="Picture 54326"/>
                    <pic:cNvPicPr/>
                  </pic:nvPicPr>
                  <pic:blipFill>
                    <a:blip r:embed="rId28"/>
                    <a:stretch>
                      <a:fillRect/>
                    </a:stretch>
                  </pic:blipFill>
                  <pic:spPr>
                    <a:xfrm>
                      <a:off x="0" y="0"/>
                      <a:ext cx="3308452" cy="21336"/>
                    </a:xfrm>
                    <a:prstGeom prst="rect">
                      <a:avLst/>
                    </a:prstGeom>
                  </pic:spPr>
                </pic:pic>
              </a:graphicData>
            </a:graphic>
          </wp:anchor>
        </w:drawing>
      </w:r>
      <w:r>
        <w:t>Odběratel je povinen provádět všechny platby bezhotovostně v tuzemské měně, pokud není burzovním obchodem (závěrkovým listem) sjednána jiná měna, na bankovní účet dodavatele uvedený na příslušné faktuře s použití</w:t>
      </w:r>
      <w:r>
        <w:t>m variabilního symbolu uvedeného na faktuře. Pokud odběratel poukáže platbu s nesprávným variabilním symbolem, nebo ji poukáže na jiný bankovní účet dodavatele, než je uvedeno na faktuře, je dodavatel oprávněn platbu vrátit odběrateli jako neidentifikovate</w:t>
      </w:r>
      <w:r>
        <w:t>lnou a účtovat úrok z prodlení za opožděné placení od data splatnosti faktury až do obdržení správně poukázané platby.</w:t>
      </w:r>
    </w:p>
    <w:p w:rsidR="008E4C42" w:rsidRDefault="0052680B">
      <w:pPr>
        <w:numPr>
          <w:ilvl w:val="0"/>
          <w:numId w:val="5"/>
        </w:numPr>
        <w:spacing w:after="236"/>
        <w:ind w:right="77" w:hanging="230"/>
      </w:pPr>
      <w:r>
        <w:t xml:space="preserve">Zaplacením plateb se rozumí připsání příslušné částky na bankovní účet dodavatele. Připadne-li den splatnosti faktury nebo zálohy na den </w:t>
      </w:r>
      <w:r>
        <w:t>pracovního volna nebo klidu, je dnem splatnosti nejbližší následující pracovní den.</w:t>
      </w:r>
    </w:p>
    <w:p w:rsidR="008E4C42" w:rsidRDefault="0052680B">
      <w:pPr>
        <w:numPr>
          <w:ilvl w:val="0"/>
          <w:numId w:val="5"/>
        </w:numPr>
        <w:spacing w:after="173"/>
        <w:ind w:right="77" w:hanging="230"/>
      </w:pPr>
      <w:r>
        <w:t>V případě prodlení odběratele s úhradou jakékoliv částky vyplývající z uzavřeného burzovního obchodu (závěrkového listu), je odběratel povinen uhradit dodavateli úrok z pro</w:t>
      </w:r>
      <w:r>
        <w:t xml:space="preserve">dlení ve výši 0,05 % z dlužné částky </w:t>
      </w:r>
      <w:r>
        <w:rPr>
          <w:noProof/>
        </w:rPr>
        <w:drawing>
          <wp:inline distT="0" distB="0" distL="0" distR="0">
            <wp:extent cx="24395" cy="33528"/>
            <wp:effectExtent l="0" t="0" r="0" b="0"/>
            <wp:docPr id="19163" name="Picture 19163"/>
            <wp:cNvGraphicFramePr/>
            <a:graphic xmlns:a="http://schemas.openxmlformats.org/drawingml/2006/main">
              <a:graphicData uri="http://schemas.openxmlformats.org/drawingml/2006/picture">
                <pic:pic xmlns:pic="http://schemas.openxmlformats.org/drawingml/2006/picture">
                  <pic:nvPicPr>
                    <pic:cNvPr id="19163" name="Picture 19163"/>
                    <pic:cNvPicPr/>
                  </pic:nvPicPr>
                  <pic:blipFill>
                    <a:blip r:embed="rId29"/>
                    <a:stretch>
                      <a:fillRect/>
                    </a:stretch>
                  </pic:blipFill>
                  <pic:spPr>
                    <a:xfrm>
                      <a:off x="0" y="0"/>
                      <a:ext cx="24395" cy="33528"/>
                    </a:xfrm>
                    <a:prstGeom prst="rect">
                      <a:avLst/>
                    </a:prstGeom>
                  </pic:spPr>
                </pic:pic>
              </a:graphicData>
            </a:graphic>
          </wp:inline>
        </w:drawing>
      </w:r>
      <w:r>
        <w:t>za každý den prodlení.</w:t>
      </w:r>
    </w:p>
    <w:p w:rsidR="008E4C42" w:rsidRDefault="0052680B">
      <w:pPr>
        <w:numPr>
          <w:ilvl w:val="0"/>
          <w:numId w:val="5"/>
        </w:numPr>
        <w:spacing w:after="169"/>
        <w:ind w:right="77" w:hanging="230"/>
      </w:pPr>
      <w:r>
        <w:t>V případě, že je odběratel v prodlení s úhradou jakékoliv částky vyplývající z uzavřeného burzovního obchodu, má dodavatel právo zaslat odběrateli písemné výzvy či upomínky k placení. Odběratel j</w:t>
      </w:r>
      <w:r>
        <w:t>e v takovém případě povinen uhradit dodavateli náklady spojené se zasláním písemné výzvy či upomínky k placení.</w:t>
      </w:r>
    </w:p>
    <w:p w:rsidR="008E4C42" w:rsidRDefault="0052680B">
      <w:pPr>
        <w:numPr>
          <w:ilvl w:val="0"/>
          <w:numId w:val="5"/>
        </w:numPr>
        <w:spacing w:after="163"/>
        <w:ind w:right="77" w:hanging="230"/>
      </w:pPr>
      <w:r>
        <w:t>V případě prodlení dodavatele s úhradou jakékoliv částky vyplývající z uzavřeného burzovního obchodu (závěrkového listu), je dodavatel povinen u</w:t>
      </w:r>
      <w:r>
        <w:t>hradit odběrateli úrok z prodlení ve výši 0,05 % z dlužné částky za každý den prodlení.</w:t>
      </w:r>
    </w:p>
    <w:p w:rsidR="008E4C42" w:rsidRDefault="0052680B">
      <w:pPr>
        <w:pStyle w:val="Nadpis2"/>
        <w:ind w:left="19"/>
      </w:pPr>
      <w:r>
        <w:lastRenderedPageBreak/>
        <w:t>Reklamace</w:t>
      </w:r>
    </w:p>
    <w:p w:rsidR="008E4C42" w:rsidRDefault="0052680B">
      <w:pPr>
        <w:numPr>
          <w:ilvl w:val="0"/>
          <w:numId w:val="6"/>
        </w:numPr>
        <w:ind w:right="10" w:hanging="235"/>
      </w:pPr>
      <w:r>
        <w:t>Zjistí-li odběratel chyby nebo omyly při vyúčtování dodávky plynu dle uzavřeného burzovního obchodu</w:t>
      </w:r>
    </w:p>
    <w:p w:rsidR="008E4C42" w:rsidRDefault="0052680B">
      <w:pPr>
        <w:spacing w:after="152" w:line="217" w:lineRule="auto"/>
        <w:ind w:left="240" w:firstLine="5"/>
        <w:jc w:val="left"/>
      </w:pPr>
      <w:r>
        <w:t>(závěrkového listu), má právo příslušné vyúčtování (fakturu) u dodavatele reklamovat, a to nejpozději do 30 kalendářních dnů od doručení faktury, v níž se reklamované skutečnosti vyskytly. Reklamace musí mít písemnou formu a její uplatnění nemá odkladný úč</w:t>
      </w:r>
      <w:r>
        <w:t>inek na splatnost faktury, vyjma zcela zjevné chyby, nedohodne-li se odběratel a dodavatel jinak.</w:t>
      </w:r>
    </w:p>
    <w:p w:rsidR="008E4C42" w:rsidRDefault="0052680B">
      <w:pPr>
        <w:numPr>
          <w:ilvl w:val="0"/>
          <w:numId w:val="6"/>
        </w:numPr>
        <w:ind w:right="10" w:hanging="235"/>
      </w:pPr>
      <w:r>
        <w:t>Dodavatel je povinen reklamaci přezkoumat a výsledek přezkoumání je povinen oznámit odběrateli ve lhůtě do 30 kalendářních dnů od doručení reklamace.</w:t>
      </w:r>
    </w:p>
    <w:p w:rsidR="008E4C42" w:rsidRDefault="0052680B">
      <w:pPr>
        <w:pStyle w:val="Nadpis2"/>
        <w:spacing w:after="132"/>
        <w:ind w:left="19"/>
      </w:pPr>
      <w:r>
        <w:t xml:space="preserve">Omezení </w:t>
      </w:r>
      <w:r>
        <w:t>a přerušení dodávky</w:t>
      </w:r>
    </w:p>
    <w:p w:rsidR="008E4C42" w:rsidRDefault="0052680B">
      <w:pPr>
        <w:numPr>
          <w:ilvl w:val="0"/>
          <w:numId w:val="7"/>
        </w:numPr>
        <w:spacing w:after="232"/>
        <w:ind w:right="10" w:hanging="230"/>
      </w:pPr>
      <w:r>
        <w:t>Dodavatel je oprávněn přerušit nebo omezit v nezbytném rozsahu dodávku plynu dle burzovního obchodu (závěrkového listu) v odběrném místě v případech neoprávněného odběru, který je definován příslušnými platnými právními předpisy.</w:t>
      </w:r>
    </w:p>
    <w:p w:rsidR="008E4C42" w:rsidRDefault="0052680B">
      <w:pPr>
        <w:numPr>
          <w:ilvl w:val="0"/>
          <w:numId w:val="7"/>
        </w:numPr>
        <w:spacing w:after="157"/>
        <w:ind w:right="10" w:hanging="230"/>
      </w:pPr>
      <w:r>
        <w:t>Přeruš</w:t>
      </w:r>
      <w:r>
        <w:t>ení nebo omezení dodávky plynu z důvodu neoprávněného odběru bude provedeno provozovatelem distribuční soustavy na žádost dodavatele bezprostředně po zjištění neoprávněného odběru a bude provedeno na náklady odběratele.</w:t>
      </w:r>
    </w:p>
    <w:p w:rsidR="008E4C42" w:rsidRDefault="0052680B">
      <w:pPr>
        <w:numPr>
          <w:ilvl w:val="0"/>
          <w:numId w:val="7"/>
        </w:numPr>
        <w:spacing w:after="138"/>
        <w:ind w:right="10" w:hanging="230"/>
      </w:pPr>
      <w:r>
        <w:t>Přerušením nebo omezením dodávky ply</w:t>
      </w:r>
      <w:r>
        <w:t>nu v případech neoprávněného odběru nevzniká odběrateli právo na náhradu škody a ušlého zisku na dodavateli a na provozovateli distribuční soustavy.</w:t>
      </w:r>
    </w:p>
    <w:p w:rsidR="008E4C42" w:rsidRDefault="0052680B">
      <w:pPr>
        <w:numPr>
          <w:ilvl w:val="0"/>
          <w:numId w:val="7"/>
        </w:numPr>
        <w:spacing w:after="208"/>
        <w:ind w:right="10" w:hanging="230"/>
      </w:pPr>
      <w:r>
        <w:t>Odběratel je povinen uhradit dodavateli náklady spojené s přerušením, obnovením nebo ukončením dodávky plyn</w:t>
      </w:r>
      <w:r>
        <w:t>u z důvodu neoprávněného odběru. Při neoprávněném odběru je zákazník povinen uhradit skutečně vzniklou škodu, nelze-li vzniklou škodu prokazatelně stanovit, je náhrada škody vypočtena podle Řádu provozovatele distribuční soustavy.</w:t>
      </w:r>
    </w:p>
    <w:p w:rsidR="008E4C42" w:rsidRDefault="0052680B">
      <w:pPr>
        <w:pStyle w:val="Nadpis2"/>
        <w:ind w:left="19"/>
      </w:pPr>
      <w:r>
        <w:t xml:space="preserve">Odstoupení od burzovního </w:t>
      </w:r>
      <w:r>
        <w:t>obchodu (závěrkového listu)</w:t>
      </w:r>
    </w:p>
    <w:p w:rsidR="008E4C42" w:rsidRDefault="0052680B">
      <w:pPr>
        <w:numPr>
          <w:ilvl w:val="0"/>
          <w:numId w:val="8"/>
        </w:numPr>
        <w:ind w:right="10" w:hanging="226"/>
      </w:pPr>
      <w:r>
        <w:t>Dodavatel je oprávněn odstoupit od burzovního obchodu (závěrkového listu) v případě:</w:t>
      </w:r>
    </w:p>
    <w:p w:rsidR="008E4C42" w:rsidRDefault="0052680B">
      <w:pPr>
        <w:numPr>
          <w:ilvl w:val="1"/>
          <w:numId w:val="8"/>
        </w:numPr>
        <w:ind w:right="10" w:hanging="240"/>
      </w:pPr>
      <w:r>
        <w:t>podstatného porušení povinností — podmínek burzovního obchodu (závěrkového listu) odběratelem,</w:t>
      </w:r>
    </w:p>
    <w:p w:rsidR="008E4C42" w:rsidRDefault="0052680B">
      <w:pPr>
        <w:numPr>
          <w:ilvl w:val="1"/>
          <w:numId w:val="8"/>
        </w:numPr>
        <w:ind w:right="10" w:hanging="240"/>
      </w:pPr>
      <w:r>
        <w:t>neoprávněného odběru, který je definován přísluš</w:t>
      </w:r>
      <w:r>
        <w:t>nými platnými právními předpisy,</w:t>
      </w:r>
    </w:p>
    <w:p w:rsidR="008E4C42" w:rsidRDefault="0052680B">
      <w:pPr>
        <w:numPr>
          <w:ilvl w:val="1"/>
          <w:numId w:val="8"/>
        </w:numPr>
        <w:spacing w:after="182"/>
        <w:ind w:right="10" w:hanging="240"/>
      </w:pPr>
      <w:r>
        <w:t>je-li odběratel v úpadku nebo je mu povoleno vyrovnání.</w:t>
      </w:r>
    </w:p>
    <w:p w:rsidR="008E4C42" w:rsidRDefault="0052680B">
      <w:pPr>
        <w:numPr>
          <w:ilvl w:val="0"/>
          <w:numId w:val="8"/>
        </w:numPr>
        <w:spacing w:after="0"/>
        <w:ind w:right="10" w:hanging="226"/>
      </w:pPr>
      <w:r>
        <w:t>Za podstatné porušení povinností — podmínek burzovního obchodu (závěrkového listu) odběratelem se považuje zejména:</w:t>
      </w:r>
    </w:p>
    <w:p w:rsidR="008E4C42" w:rsidRDefault="0052680B">
      <w:pPr>
        <w:numPr>
          <w:ilvl w:val="1"/>
          <w:numId w:val="8"/>
        </w:numPr>
        <w:spacing w:after="0"/>
        <w:ind w:right="10" w:hanging="240"/>
      </w:pPr>
      <w:r>
        <w:t>je-li odběratel i přes doručení výzvy nebo upomínky k placení opakovaně v prodlení se zaplacením peněžitého závazku vyplývajícího ze závěrkového listu,</w:t>
      </w:r>
    </w:p>
    <w:p w:rsidR="008E4C42" w:rsidRDefault="0052680B">
      <w:pPr>
        <w:numPr>
          <w:ilvl w:val="1"/>
          <w:numId w:val="8"/>
        </w:numPr>
        <w:spacing w:after="0"/>
        <w:ind w:right="10" w:hanging="240"/>
      </w:pPr>
      <w:r>
        <w:rPr>
          <w:noProof/>
        </w:rPr>
        <w:drawing>
          <wp:anchor distT="0" distB="0" distL="114300" distR="114300" simplePos="0" relativeHeight="251674624" behindDoc="0" locked="0" layoutInCell="1" allowOverlap="0">
            <wp:simplePos x="0" y="0"/>
            <wp:positionH relativeFrom="page">
              <wp:posOffset>789760</wp:posOffset>
            </wp:positionH>
            <wp:positionV relativeFrom="page">
              <wp:posOffset>164592</wp:posOffset>
            </wp:positionV>
            <wp:extent cx="600705" cy="326136"/>
            <wp:effectExtent l="0" t="0" r="0" b="0"/>
            <wp:wrapTopAndBottom/>
            <wp:docPr id="22617" name="Picture 22617"/>
            <wp:cNvGraphicFramePr/>
            <a:graphic xmlns:a="http://schemas.openxmlformats.org/drawingml/2006/main">
              <a:graphicData uri="http://schemas.openxmlformats.org/drawingml/2006/picture">
                <pic:pic xmlns:pic="http://schemas.openxmlformats.org/drawingml/2006/picture">
                  <pic:nvPicPr>
                    <pic:cNvPr id="22617" name="Picture 22617"/>
                    <pic:cNvPicPr/>
                  </pic:nvPicPr>
                  <pic:blipFill>
                    <a:blip r:embed="rId30"/>
                    <a:stretch>
                      <a:fillRect/>
                    </a:stretch>
                  </pic:blipFill>
                  <pic:spPr>
                    <a:xfrm>
                      <a:off x="0" y="0"/>
                      <a:ext cx="600705" cy="326136"/>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646444</wp:posOffset>
            </wp:positionH>
            <wp:positionV relativeFrom="page">
              <wp:posOffset>10067544</wp:posOffset>
            </wp:positionV>
            <wp:extent cx="6138172" cy="18288"/>
            <wp:effectExtent l="0" t="0" r="0" b="0"/>
            <wp:wrapTopAndBottom/>
            <wp:docPr id="54328" name="Picture 54328"/>
            <wp:cNvGraphicFramePr/>
            <a:graphic xmlns:a="http://schemas.openxmlformats.org/drawingml/2006/main">
              <a:graphicData uri="http://schemas.openxmlformats.org/drawingml/2006/picture">
                <pic:pic xmlns:pic="http://schemas.openxmlformats.org/drawingml/2006/picture">
                  <pic:nvPicPr>
                    <pic:cNvPr id="54328" name="Picture 54328"/>
                    <pic:cNvPicPr/>
                  </pic:nvPicPr>
                  <pic:blipFill>
                    <a:blip r:embed="rId31"/>
                    <a:stretch>
                      <a:fillRect/>
                    </a:stretch>
                  </pic:blipFill>
                  <pic:spPr>
                    <a:xfrm>
                      <a:off x="0" y="0"/>
                      <a:ext cx="6138172" cy="18288"/>
                    </a:xfrm>
                    <a:prstGeom prst="rect">
                      <a:avLst/>
                    </a:prstGeom>
                  </pic:spPr>
                </pic:pic>
              </a:graphicData>
            </a:graphic>
          </wp:anchor>
        </w:drawing>
      </w:r>
      <w:r>
        <w:t>zjistí-li dodavatel nebo příslušný provozovatel distribuční soustavy neoprávněnou manipulaci s měřícím</w:t>
      </w:r>
      <w:r>
        <w:t xml:space="preserve"> zařízením,</w:t>
      </w:r>
    </w:p>
    <w:p w:rsidR="008E4C42" w:rsidRDefault="0052680B">
      <w:pPr>
        <w:numPr>
          <w:ilvl w:val="1"/>
          <w:numId w:val="8"/>
        </w:numPr>
        <w:spacing w:after="2"/>
        <w:ind w:right="10" w:hanging="240"/>
      </w:pPr>
      <w:r>
        <w:t>neumožní-li odběratel přístup k měřícímu zařízení ani po opakované písemné výzvě dodavatele nebo příslušného provozovatele distribuční soustavy,</w:t>
      </w:r>
    </w:p>
    <w:p w:rsidR="008E4C42" w:rsidRDefault="0052680B">
      <w:pPr>
        <w:numPr>
          <w:ilvl w:val="1"/>
          <w:numId w:val="8"/>
        </w:numPr>
        <w:spacing w:after="247"/>
        <w:ind w:right="10" w:hanging="240"/>
      </w:pPr>
      <w:r>
        <w:t>poruší-li odběratel podstatně povinnosti — podmínky zvlášť specifikované burzovním obchodem (závěrk</w:t>
      </w:r>
      <w:r>
        <w:t>ovým listem).</w:t>
      </w:r>
    </w:p>
    <w:p w:rsidR="008E4C42" w:rsidRDefault="0052680B">
      <w:pPr>
        <w:numPr>
          <w:ilvl w:val="0"/>
          <w:numId w:val="8"/>
        </w:numPr>
        <w:ind w:right="10" w:hanging="226"/>
      </w:pPr>
      <w:r>
        <w:t>Odběratel je oprávněn odstoupit od burzovního obchodu (závěrkového listu) v případě:</w:t>
      </w:r>
    </w:p>
    <w:p w:rsidR="008E4C42" w:rsidRDefault="0052680B">
      <w:pPr>
        <w:numPr>
          <w:ilvl w:val="1"/>
          <w:numId w:val="8"/>
        </w:numPr>
        <w:ind w:right="10" w:hanging="240"/>
      </w:pPr>
      <w:r>
        <w:t>podstatného porušení povinností — podmínek burzovního obchodu (závěrkového listu) dodavatelem,</w:t>
      </w:r>
    </w:p>
    <w:p w:rsidR="008E4C42" w:rsidRDefault="0052680B">
      <w:pPr>
        <w:numPr>
          <w:ilvl w:val="1"/>
          <w:numId w:val="8"/>
        </w:numPr>
        <w:spacing w:after="209"/>
        <w:ind w:right="10" w:hanging="240"/>
      </w:pPr>
      <w:r>
        <w:t>je-li dodavatel v úpadku nebo je mu povoleno vyrovnání.</w:t>
      </w:r>
    </w:p>
    <w:p w:rsidR="008E4C42" w:rsidRDefault="0052680B">
      <w:pPr>
        <w:numPr>
          <w:ilvl w:val="0"/>
          <w:numId w:val="8"/>
        </w:numPr>
        <w:spacing w:after="0"/>
        <w:ind w:right="10" w:hanging="226"/>
      </w:pPr>
      <w:r>
        <w:t>Za pod</w:t>
      </w:r>
      <w:r>
        <w:t>statné porušení povinností — podmínek burzovního obchodu (závěrkového listu) dodavatelem se považuje zejména:</w:t>
      </w:r>
    </w:p>
    <w:p w:rsidR="008E4C42" w:rsidRDefault="0052680B">
      <w:pPr>
        <w:numPr>
          <w:ilvl w:val="1"/>
          <w:numId w:val="8"/>
        </w:numPr>
        <w:ind w:right="10" w:hanging="240"/>
      </w:pPr>
      <w:r>
        <w:t>bezdůvodné přerušení, omezení nebo ukončení dodávky plynu dodavatelem,</w:t>
      </w:r>
    </w:p>
    <w:p w:rsidR="008E4C42" w:rsidRDefault="0052680B">
      <w:pPr>
        <w:numPr>
          <w:ilvl w:val="1"/>
          <w:numId w:val="8"/>
        </w:numPr>
        <w:ind w:right="10" w:hanging="240"/>
      </w:pPr>
      <w:r>
        <w:t>bezdůvodné nezajištění dopravy plynu a souvisejících služeb ze strany dodav</w:t>
      </w:r>
      <w:r>
        <w:t>atele,</w:t>
      </w:r>
    </w:p>
    <w:p w:rsidR="008E4C42" w:rsidRDefault="0052680B">
      <w:pPr>
        <w:numPr>
          <w:ilvl w:val="1"/>
          <w:numId w:val="8"/>
        </w:numPr>
        <w:spacing w:after="0"/>
        <w:ind w:right="10" w:hanging="240"/>
      </w:pPr>
      <w:r>
        <w:lastRenderedPageBreak/>
        <w:t>je-li dodavatel i přes doručení výzvy nebo upomínky k placení opakovaně v prodlení se zaplacením peněžitého závazku vyplývajícího ze závěrkového listu,</w:t>
      </w:r>
    </w:p>
    <w:p w:rsidR="008E4C42" w:rsidRDefault="0052680B">
      <w:pPr>
        <w:numPr>
          <w:ilvl w:val="1"/>
          <w:numId w:val="8"/>
        </w:numPr>
        <w:spacing w:after="245"/>
        <w:ind w:right="10" w:hanging="240"/>
      </w:pPr>
      <w:r>
        <w:t>poruší-li dodavatel podstatně povinnosti — podmínky zvlášť specifikované burzovním obchodem (závě</w:t>
      </w:r>
      <w:r>
        <w:t>rkovým listem).</w:t>
      </w:r>
    </w:p>
    <w:p w:rsidR="008E4C42" w:rsidRDefault="0052680B">
      <w:pPr>
        <w:numPr>
          <w:ilvl w:val="0"/>
          <w:numId w:val="8"/>
        </w:numPr>
        <w:spacing w:after="238" w:line="217" w:lineRule="auto"/>
        <w:ind w:right="10" w:hanging="226"/>
      </w:pPr>
      <w:r>
        <w:t>Odstoupení od burzovního obchodu (závěrkového listu) musí být provedeno písemně a je účinné dnem doručení písemného oznámení o odstoupení druhé smluvní straně, nebo pozdějším dnem, který je v oznámení o odstoupení odstupující smluvní strano</w:t>
      </w:r>
      <w:r>
        <w:t>u stanoven. Odstupující smluvní strana je povinna oznámit odstoupení od burzovního obchodu (závěrkového listu) příslušnému provozovateli distribuční soustavy.</w:t>
      </w:r>
    </w:p>
    <w:p w:rsidR="008E4C42" w:rsidRDefault="0052680B">
      <w:pPr>
        <w:pStyle w:val="Nadpis2"/>
        <w:spacing w:after="103"/>
        <w:ind w:left="19"/>
      </w:pPr>
      <w:r>
        <w:t>Komunikace a doručování</w:t>
      </w:r>
    </w:p>
    <w:p w:rsidR="008E4C42" w:rsidRDefault="0052680B">
      <w:pPr>
        <w:numPr>
          <w:ilvl w:val="0"/>
          <w:numId w:val="9"/>
        </w:numPr>
        <w:spacing w:after="152" w:line="217" w:lineRule="auto"/>
        <w:ind w:right="10" w:hanging="230"/>
      </w:pPr>
      <w:r>
        <w:t>Korespondence, oznámení či jiné sdělení učiněné mezi smluvními stranami na základě uzavřeného burzovního obchodu (závěrkového listu) musí mít písemnou podobu a musí být v českém jazyce (dále „písemnost”).</w:t>
      </w:r>
    </w:p>
    <w:p w:rsidR="008E4C42" w:rsidRDefault="0052680B">
      <w:pPr>
        <w:numPr>
          <w:ilvl w:val="0"/>
          <w:numId w:val="9"/>
        </w:numPr>
        <w:ind w:right="10" w:hanging="230"/>
      </w:pPr>
      <w:r>
        <w:t>Písemnosti se považují za doručené:</w:t>
      </w:r>
    </w:p>
    <w:p w:rsidR="008E4C42" w:rsidRDefault="0052680B">
      <w:pPr>
        <w:numPr>
          <w:ilvl w:val="1"/>
          <w:numId w:val="9"/>
        </w:numPr>
        <w:ind w:right="10" w:hanging="230"/>
      </w:pPr>
      <w:r>
        <w:t>osobním doručen</w:t>
      </w:r>
      <w:r>
        <w:t>ím a předáním kontaktní osobě smluvní strany, která je adresátem,</w:t>
      </w:r>
    </w:p>
    <w:p w:rsidR="008E4C42" w:rsidRDefault="0052680B">
      <w:pPr>
        <w:numPr>
          <w:ilvl w:val="1"/>
          <w:numId w:val="9"/>
        </w:numPr>
        <w:spacing w:after="0"/>
        <w:ind w:right="10" w:hanging="230"/>
      </w:pPr>
      <w:r>
        <w:t>pátým kalendářním dnem ode dne odeslání doporučeného dopisu na kontaktní adresu smluvní strany, která je adresátem, nebo dřívějším dnem doručení,</w:t>
      </w:r>
    </w:p>
    <w:p w:rsidR="008E4C42" w:rsidRDefault="0052680B">
      <w:pPr>
        <w:numPr>
          <w:ilvl w:val="1"/>
          <w:numId w:val="9"/>
        </w:numPr>
        <w:spacing w:after="208"/>
        <w:ind w:right="10" w:hanging="230"/>
      </w:pPr>
      <w:r>
        <w:t xml:space="preserve">zpětným potvrzením faxové nebo elektronické </w:t>
      </w:r>
      <w:r>
        <w:t>zprávy, která byla odeslána na kontaktní faxové číslo nebo e-mailovou adresu smluvní strany, která je adresátem.</w:t>
      </w:r>
    </w:p>
    <w:p w:rsidR="008E4C42" w:rsidRDefault="0052680B">
      <w:pPr>
        <w:numPr>
          <w:ilvl w:val="0"/>
          <w:numId w:val="9"/>
        </w:numPr>
        <w:spacing w:after="191"/>
        <w:ind w:right="10" w:hanging="230"/>
      </w:pPr>
      <w:r>
        <w:t>Smluvní strany jsou povinny oznámit druhé smluvní straně jakékoliv změny v kontaktních údajích pro doručování písemností. Za doručené budou pov</w:t>
      </w:r>
      <w:r>
        <w:t>ažovány i písemnosti, které se vrátí odesílající smluvní straně jako nedoručené v důsledku neoznámení nových kontaktních údajů stranou, která je adresátem.</w:t>
      </w:r>
    </w:p>
    <w:p w:rsidR="008E4C42" w:rsidRDefault="0052680B">
      <w:pPr>
        <w:spacing w:after="155" w:line="269" w:lineRule="auto"/>
        <w:ind w:left="9" w:right="14" w:firstLine="0"/>
      </w:pPr>
      <w:r>
        <w:rPr>
          <w:sz w:val="24"/>
        </w:rPr>
        <w:t>Kontaktní údaje:</w:t>
      </w:r>
    </w:p>
    <w:p w:rsidR="008E4C42" w:rsidRDefault="0052680B">
      <w:pPr>
        <w:spacing w:after="200"/>
        <w:ind w:left="14" w:right="10"/>
      </w:pPr>
      <w:r>
        <w:t xml:space="preserve">Dodavatel: Martin </w:t>
      </w:r>
      <w:proofErr w:type="spellStart"/>
      <w:r>
        <w:t>Pecholt</w:t>
      </w:r>
      <w:proofErr w:type="spellEnd"/>
      <w:r>
        <w:t>, tel.: 267 175 534, e-mail: individualniobsluha@ppas.cz</w:t>
      </w:r>
    </w:p>
    <w:p w:rsidR="008E4C42" w:rsidRDefault="0052680B">
      <w:pPr>
        <w:ind w:left="14" w:right="10"/>
      </w:pPr>
      <w:r>
        <w:t>O</w:t>
      </w:r>
      <w:r>
        <w:t xml:space="preserve">dběratel: Statutární zástupce organizace: Mgr. Luděk </w:t>
      </w:r>
      <w:proofErr w:type="gramStart"/>
      <w:r>
        <w:t>Doležel ,</w:t>
      </w:r>
      <w:proofErr w:type="gramEnd"/>
      <w:r>
        <w:t xml:space="preserve"> tel.: 603529682, e-mail:</w:t>
      </w:r>
    </w:p>
    <w:p w:rsidR="008E4C42" w:rsidRDefault="0052680B">
      <w:pPr>
        <w:spacing w:after="227"/>
        <w:ind w:left="1042" w:right="10"/>
      </w:pPr>
      <w:r>
        <w:t xml:space="preserve">reditel@ddprerov.cz, fakturační záležitosti dodávky: Libuše Poulíčková, tel.: 581205126, </w:t>
      </w:r>
      <w:proofErr w:type="gramStart"/>
      <w:r>
        <w:t>e—mail</w:t>
      </w:r>
      <w:proofErr w:type="gramEnd"/>
      <w:r>
        <w:t>: info@ddprerov.cz</w:t>
      </w:r>
    </w:p>
    <w:p w:rsidR="008E4C42" w:rsidRDefault="0052680B">
      <w:pPr>
        <w:pStyle w:val="Nadpis2"/>
        <w:ind w:left="19"/>
      </w:pPr>
      <w:r>
        <w:t>Mlčenlivost</w:t>
      </w:r>
    </w:p>
    <w:p w:rsidR="008E4C42" w:rsidRDefault="0052680B">
      <w:pPr>
        <w:numPr>
          <w:ilvl w:val="0"/>
          <w:numId w:val="10"/>
        </w:numPr>
        <w:spacing w:after="235" w:line="217" w:lineRule="auto"/>
        <w:ind w:left="246" w:right="5" w:hanging="235"/>
        <w:jc w:val="left"/>
      </w:pPr>
      <w:r>
        <w:t>Dodavatel a odběratel se zavazují, že neposkytnou závěrkový list jako celek ani jeho část (která není veřejně známa) a neveřejné informace z něho plynoucí třetí osobě bez předchozího písemného souhlasu druhé smluvní strany, kromě případů, kdy jim zveřejněn</w:t>
      </w:r>
      <w:r>
        <w:t>í nebo poskytnutí třetí osobě určuje příslušný právní předpis.</w:t>
      </w:r>
    </w:p>
    <w:p w:rsidR="008E4C42" w:rsidRDefault="0052680B">
      <w:pPr>
        <w:numPr>
          <w:ilvl w:val="0"/>
          <w:numId w:val="10"/>
        </w:numPr>
        <w:spacing w:after="142"/>
        <w:ind w:left="246" w:right="5" w:hanging="235"/>
        <w:jc w:val="left"/>
      </w:pPr>
      <w:r>
        <w:t>Dodavatel a odběratel se zavazují přijmout technická a organizační vnitřní opatření k ochraně neveřejných informací, zejména důvěrných informací a osobních údajů.</w:t>
      </w:r>
    </w:p>
    <w:p w:rsidR="008E4C42" w:rsidRDefault="0052680B">
      <w:pPr>
        <w:pStyle w:val="Nadpis2"/>
        <w:ind w:left="19"/>
      </w:pPr>
      <w:r>
        <w:rPr>
          <w:noProof/>
        </w:rPr>
        <w:drawing>
          <wp:anchor distT="0" distB="0" distL="114300" distR="114300" simplePos="0" relativeHeight="251676672" behindDoc="0" locked="0" layoutInCell="1" allowOverlap="0">
            <wp:simplePos x="0" y="0"/>
            <wp:positionH relativeFrom="page">
              <wp:posOffset>692183</wp:posOffset>
            </wp:positionH>
            <wp:positionV relativeFrom="page">
              <wp:posOffset>198120</wp:posOffset>
            </wp:positionV>
            <wp:extent cx="679987" cy="326136"/>
            <wp:effectExtent l="0" t="0" r="0" b="0"/>
            <wp:wrapTopAndBottom/>
            <wp:docPr id="26122" name="Picture 26122"/>
            <wp:cNvGraphicFramePr/>
            <a:graphic xmlns:a="http://schemas.openxmlformats.org/drawingml/2006/main">
              <a:graphicData uri="http://schemas.openxmlformats.org/drawingml/2006/picture">
                <pic:pic xmlns:pic="http://schemas.openxmlformats.org/drawingml/2006/picture">
                  <pic:nvPicPr>
                    <pic:cNvPr id="26122" name="Picture 26122"/>
                    <pic:cNvPicPr/>
                  </pic:nvPicPr>
                  <pic:blipFill>
                    <a:blip r:embed="rId32"/>
                    <a:stretch>
                      <a:fillRect/>
                    </a:stretch>
                  </pic:blipFill>
                  <pic:spPr>
                    <a:xfrm>
                      <a:off x="0" y="0"/>
                      <a:ext cx="679987" cy="326136"/>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2006417</wp:posOffset>
            </wp:positionH>
            <wp:positionV relativeFrom="page">
              <wp:posOffset>10116313</wp:posOffset>
            </wp:positionV>
            <wp:extent cx="1006258" cy="15240"/>
            <wp:effectExtent l="0" t="0" r="0" b="0"/>
            <wp:wrapTopAndBottom/>
            <wp:docPr id="26125" name="Picture 26125"/>
            <wp:cNvGraphicFramePr/>
            <a:graphic xmlns:a="http://schemas.openxmlformats.org/drawingml/2006/main">
              <a:graphicData uri="http://schemas.openxmlformats.org/drawingml/2006/picture">
                <pic:pic xmlns:pic="http://schemas.openxmlformats.org/drawingml/2006/picture">
                  <pic:nvPicPr>
                    <pic:cNvPr id="26125" name="Picture 26125"/>
                    <pic:cNvPicPr/>
                  </pic:nvPicPr>
                  <pic:blipFill>
                    <a:blip r:embed="rId33"/>
                    <a:stretch>
                      <a:fillRect/>
                    </a:stretch>
                  </pic:blipFill>
                  <pic:spPr>
                    <a:xfrm>
                      <a:off x="0" y="0"/>
                      <a:ext cx="1006258" cy="15240"/>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3470065</wp:posOffset>
            </wp:positionH>
            <wp:positionV relativeFrom="page">
              <wp:posOffset>10113264</wp:posOffset>
            </wp:positionV>
            <wp:extent cx="3311501" cy="18289"/>
            <wp:effectExtent l="0" t="0" r="0" b="0"/>
            <wp:wrapTopAndBottom/>
            <wp:docPr id="54330" name="Picture 54330"/>
            <wp:cNvGraphicFramePr/>
            <a:graphic xmlns:a="http://schemas.openxmlformats.org/drawingml/2006/main">
              <a:graphicData uri="http://schemas.openxmlformats.org/drawingml/2006/picture">
                <pic:pic xmlns:pic="http://schemas.openxmlformats.org/drawingml/2006/picture">
                  <pic:nvPicPr>
                    <pic:cNvPr id="54330" name="Picture 54330"/>
                    <pic:cNvPicPr/>
                  </pic:nvPicPr>
                  <pic:blipFill>
                    <a:blip r:embed="rId34"/>
                    <a:stretch>
                      <a:fillRect/>
                    </a:stretch>
                  </pic:blipFill>
                  <pic:spPr>
                    <a:xfrm>
                      <a:off x="0" y="0"/>
                      <a:ext cx="3311501" cy="18289"/>
                    </a:xfrm>
                    <a:prstGeom prst="rect">
                      <a:avLst/>
                    </a:prstGeom>
                  </pic:spPr>
                </pic:pic>
              </a:graphicData>
            </a:graphic>
          </wp:anchor>
        </w:drawing>
      </w:r>
      <w:r>
        <w:t>Předcházení škodám</w:t>
      </w:r>
    </w:p>
    <w:p w:rsidR="008E4C42" w:rsidRDefault="0052680B">
      <w:pPr>
        <w:numPr>
          <w:ilvl w:val="0"/>
          <w:numId w:val="11"/>
        </w:numPr>
        <w:spacing w:after="123"/>
        <w:ind w:right="10" w:hanging="235"/>
      </w:pPr>
      <w:r>
        <w:t>Dodavate</w:t>
      </w:r>
      <w:r>
        <w:t>l a odběratel se zavazují navzájem se informovat o všech skutečnostech, kterých jsou si vědomi, a které by mohly vést ke škodám a usilovat o odvrácení hrozících škod.</w:t>
      </w:r>
    </w:p>
    <w:p w:rsidR="008E4C42" w:rsidRDefault="0052680B">
      <w:pPr>
        <w:numPr>
          <w:ilvl w:val="0"/>
          <w:numId w:val="11"/>
        </w:numPr>
        <w:ind w:right="10" w:hanging="235"/>
      </w:pPr>
      <w:r>
        <w:t xml:space="preserve">Dodavatel a odběratel se zprostí povinnosti k náhradě škody za podmínek dle </w:t>
      </w:r>
      <w:proofErr w:type="spellStart"/>
      <w:r>
        <w:t>ust</w:t>
      </w:r>
      <w:proofErr w:type="spellEnd"/>
      <w:r>
        <w:t>. S 2913 z</w:t>
      </w:r>
      <w:r>
        <w:t>ákona</w:t>
      </w:r>
    </w:p>
    <w:p w:rsidR="008E4C42" w:rsidRDefault="0052680B">
      <w:pPr>
        <w:ind w:left="240" w:right="10"/>
      </w:pPr>
      <w:r>
        <w:t>č. 89/2012 Sb., občanský zákoník v platném znění, nebo za podmínek vyplývajících ze zákona</w:t>
      </w:r>
    </w:p>
    <w:p w:rsidR="008E4C42" w:rsidRDefault="0052680B">
      <w:pPr>
        <w:spacing w:after="206"/>
        <w:ind w:left="235" w:right="10"/>
      </w:pPr>
      <w:r>
        <w:t>č. 458/2000 Sb., o podmínkách podnikání a o výkonu státní správy v energetických odvětvích v platném znění.</w:t>
      </w:r>
    </w:p>
    <w:p w:rsidR="008E4C42" w:rsidRDefault="0052680B">
      <w:pPr>
        <w:pStyle w:val="Nadpis2"/>
        <w:ind w:left="19"/>
      </w:pPr>
      <w:r>
        <w:lastRenderedPageBreak/>
        <w:t>Ostatní ujednání</w:t>
      </w:r>
    </w:p>
    <w:p w:rsidR="008E4C42" w:rsidRDefault="0052680B">
      <w:pPr>
        <w:numPr>
          <w:ilvl w:val="0"/>
          <w:numId w:val="12"/>
        </w:numPr>
        <w:spacing w:after="232"/>
        <w:ind w:right="120" w:hanging="221"/>
      </w:pPr>
      <w:r>
        <w:t>Závěrkový list je Smlouvou o sdruž</w:t>
      </w:r>
      <w:r>
        <w:t>ených službách dodávky zemního plynu mezi držitelem licence na obchod s plynem (dodavatelem) a zákazníkem (odběratelem), uzavřenou podle zákona č. 89/2012 Sb., občanský zákoník v platném znění, zákona č. 458/2000 Sb., o podmínkách podnikání a o výkonu stát</w:t>
      </w:r>
      <w:r>
        <w:t>ní správy v energetických odvětvích v platném znění (Energetický zákon) a příslušných souvisejících právních předpisů.</w:t>
      </w:r>
    </w:p>
    <w:p w:rsidR="008E4C42" w:rsidRDefault="0052680B">
      <w:pPr>
        <w:numPr>
          <w:ilvl w:val="0"/>
          <w:numId w:val="12"/>
        </w:numPr>
        <w:spacing w:after="152" w:line="217" w:lineRule="auto"/>
        <w:ind w:right="120" w:hanging="221"/>
      </w:pPr>
      <w:r>
        <w:t>Dodavatel a odběratel jsou povinni postupovat při plnění podmínek burzovního obchodu (závěrkového listu) v souladu s podmínkami příslušné</w:t>
      </w:r>
      <w:r>
        <w:t>ho burzovního obchodu (závěrkového listu), platným Řádem provozovatele přepravní soustavy, platným Řádem provozovatele distribuční soustavy, příslušnými právními předpisy a technickými normami.</w:t>
      </w:r>
    </w:p>
    <w:p w:rsidR="008E4C42" w:rsidRDefault="0052680B">
      <w:pPr>
        <w:numPr>
          <w:ilvl w:val="0"/>
          <w:numId w:val="12"/>
        </w:numPr>
        <w:ind w:right="120" w:hanging="221"/>
      </w:pPr>
      <w:r>
        <w:t>Odběratel je oprávněn ukončit odběr plynu v odběrném místě v p</w:t>
      </w:r>
      <w:r>
        <w:t>řípadě, kdy dodavateli doloží, že ukončuje odběr plynu z důvodu změny převodu vlastnických práv k odběrnému místu nebo z důvodu fyzické likvidace odběrného místa (živelní pohroma, demolice). Odběratel se zavazuje před ukončením odběru plynu provést odhláše</w:t>
      </w:r>
      <w:r>
        <w:t xml:space="preserve">ní odběru plynu a sjednat termín odpojení měřícího zařízení. Odběratel má povinnost při ukončení odběru plynu umožnit příslušnému provozovateli distribuční soustavy provést konečný odečet, popř. odebrat měřící zařízení. Pokud odběratel neumožní dodavateli </w:t>
      </w:r>
      <w:r>
        <w:t>nebo provozovateli distribuční soustavy nebo jím pověřené osobě provést konečný odečet nebo odpojit měřící zařízení, odpovídá za celý odběr až do té doby, kdy dodavatel, nebo provozovatel distribuční soustavy nebo jím pověřená osoba bude moci tak učinit.</w:t>
      </w:r>
    </w:p>
    <w:p w:rsidR="008E4C42" w:rsidRDefault="008E4C42">
      <w:pPr>
        <w:sectPr w:rsidR="008E4C42">
          <w:type w:val="continuous"/>
          <w:pgSz w:w="11563" w:h="16488"/>
          <w:pgMar w:top="950" w:right="744" w:bottom="832" w:left="1013" w:header="708" w:footer="708" w:gutter="0"/>
          <w:cols w:space="708"/>
        </w:sectPr>
      </w:pPr>
    </w:p>
    <w:p w:rsidR="008E4C42" w:rsidRDefault="0052680B">
      <w:pPr>
        <w:pStyle w:val="Nadpis1"/>
        <w:ind w:left="231"/>
      </w:pPr>
      <w:r>
        <w:lastRenderedPageBreak/>
        <w:t>1</w:t>
      </w:r>
      <w:r>
        <w:rPr>
          <w:u w:val="single" w:color="000000"/>
        </w:rPr>
        <w:t>13</w:t>
      </w:r>
      <w:r>
        <w:t>&gt;</w:t>
      </w:r>
    </w:p>
    <w:p w:rsidR="008E4C42" w:rsidRDefault="0052680B">
      <w:pPr>
        <w:numPr>
          <w:ilvl w:val="0"/>
          <w:numId w:val="13"/>
        </w:numPr>
        <w:spacing w:after="256"/>
        <w:ind w:left="251" w:right="235" w:hanging="240"/>
        <w:jc w:val="left"/>
      </w:pPr>
      <w:r>
        <w:t>Dodavatel a odběratel jsou se souhlasem burzy oprávněni ukončit plnění burzovního obchodu (závěrkového listu) rovněž vzájemnou písemnou dohodou.</w:t>
      </w:r>
    </w:p>
    <w:p w:rsidR="008E4C42" w:rsidRDefault="0052680B">
      <w:pPr>
        <w:numPr>
          <w:ilvl w:val="0"/>
          <w:numId w:val="13"/>
        </w:numPr>
        <w:spacing w:after="263"/>
        <w:ind w:left="251" w:right="235" w:hanging="240"/>
        <w:jc w:val="left"/>
      </w:pPr>
      <w:r>
        <w:t>Uzavřením burzovního obchodu (závěrkového listu) se ke dni zahájení sjednané dodávky plynu do odběrného místa ruší všechny smluvní vztahy související s dodávkou plynu do tohoto odběrného místa, které byly uzavřeny mezi dodavatelem a odběratelem nebo jejich</w:t>
      </w:r>
      <w:r>
        <w:t xml:space="preserve"> právními předchůdci před uzavřením burzovního obchodu.</w:t>
      </w:r>
    </w:p>
    <w:p w:rsidR="008E4C42" w:rsidRDefault="0052680B">
      <w:pPr>
        <w:numPr>
          <w:ilvl w:val="0"/>
          <w:numId w:val="13"/>
        </w:numPr>
        <w:spacing w:after="177" w:line="217" w:lineRule="auto"/>
        <w:ind w:left="251" w:right="235" w:hanging="240"/>
        <w:jc w:val="left"/>
      </w:pPr>
      <w:r>
        <w:t>Pokud by se jakékoliv ustanovení závěrkového listu dostalo do rozporu s platným právním řádem České republiky či mezinárodní smlouvou, kterou je Česká republika vázána, bude takovéto ustanovení automa</w:t>
      </w:r>
      <w:r>
        <w:t>ticky považováno za neplatné a bude postupováno dle aktuální právní úpravy. Tato skutečnost nemá vliv na platnost a účinnost ostatních ustanovení závěrkového listu.</w:t>
      </w:r>
    </w:p>
    <w:p w:rsidR="008E4C42" w:rsidRDefault="0052680B">
      <w:pPr>
        <w:numPr>
          <w:ilvl w:val="0"/>
          <w:numId w:val="13"/>
        </w:numPr>
        <w:spacing w:after="241" w:line="217" w:lineRule="auto"/>
        <w:ind w:left="251" w:right="235" w:hanging="240"/>
        <w:jc w:val="left"/>
      </w:pPr>
      <w:r>
        <w:t xml:space="preserve">Dodavatel a odběratel jsou povinni vynaložit veškeré úsilí k tomu, aby byly případné spory </w:t>
      </w:r>
      <w:r>
        <w:t xml:space="preserve">vyplývající z burzovního obchodu (závěrkového listu) urovnány </w:t>
      </w:r>
      <w:proofErr w:type="spellStart"/>
      <w:r>
        <w:t>smímou</w:t>
      </w:r>
      <w:proofErr w:type="spellEnd"/>
      <w:r>
        <w:t xml:space="preserve"> cestou, k tomuto vyvinou vzájemnou součinnost.</w:t>
      </w:r>
    </w:p>
    <w:p w:rsidR="008E4C42" w:rsidRDefault="0052680B">
      <w:pPr>
        <w:spacing w:after="0" w:line="265" w:lineRule="auto"/>
        <w:ind w:left="14" w:hanging="10"/>
        <w:jc w:val="left"/>
      </w:pPr>
      <w:r>
        <w:rPr>
          <w:sz w:val="26"/>
        </w:rPr>
        <w:t>Rozhodčí doložka:</w:t>
      </w:r>
    </w:p>
    <w:p w:rsidR="008E4C42" w:rsidRDefault="0052680B">
      <w:pPr>
        <w:spacing w:after="0" w:line="217" w:lineRule="auto"/>
        <w:ind w:left="9" w:firstLine="0"/>
        <w:jc w:val="left"/>
      </w:pPr>
      <w:r>
        <w:t>Veškeré spory vznikající z burzovního obchodu (závěrkového listu) a v souvislosti s ním, které se nepodaří odstranit jednáním mezi stranami, budou s konečnou platností rozhodnuty Mezinárodním rozhodčím soudem při Českomoravské komoditní burze, který je stá</w:t>
      </w:r>
      <w:r>
        <w:t>lým rozhodčím soudem podle ustanovení S 13 zákona</w:t>
      </w:r>
    </w:p>
    <w:p w:rsidR="008E4C42" w:rsidRDefault="0052680B">
      <w:pPr>
        <w:spacing w:after="185"/>
        <w:ind w:left="14" w:right="10"/>
      </w:pPr>
      <w:r>
        <w:t>č. 216/1994 Sb. o rozhodčím řízení a o výkonu rozhodčích nálezů, podle jeho Řádu, a to jedním nebo třemi rozhodci ustanovenými v souladu s uvedeným Řádem.</w:t>
      </w:r>
    </w:p>
    <w:p w:rsidR="008E4C42" w:rsidRDefault="0052680B">
      <w:pPr>
        <w:ind w:left="14" w:right="10"/>
      </w:pPr>
      <w:r>
        <w:t>V Kladně dne 1. 11. 2022</w:t>
      </w:r>
    </w:p>
    <w:p w:rsidR="008E4C42" w:rsidRDefault="0052680B">
      <w:pPr>
        <w:spacing w:after="190" w:line="259" w:lineRule="auto"/>
        <w:ind w:left="10" w:right="-547" w:firstLine="0"/>
        <w:jc w:val="left"/>
      </w:pPr>
      <w:r>
        <w:rPr>
          <w:noProof/>
        </w:rPr>
        <w:drawing>
          <wp:inline distT="0" distB="0" distL="0" distR="0">
            <wp:extent cx="6458345" cy="634169"/>
            <wp:effectExtent l="0" t="0" r="0" b="0"/>
            <wp:docPr id="54332" name="Picture 54332"/>
            <wp:cNvGraphicFramePr/>
            <a:graphic xmlns:a="http://schemas.openxmlformats.org/drawingml/2006/main">
              <a:graphicData uri="http://schemas.openxmlformats.org/drawingml/2006/picture">
                <pic:pic xmlns:pic="http://schemas.openxmlformats.org/drawingml/2006/picture">
                  <pic:nvPicPr>
                    <pic:cNvPr id="54332" name="Picture 54332"/>
                    <pic:cNvPicPr/>
                  </pic:nvPicPr>
                  <pic:blipFill>
                    <a:blip r:embed="rId35"/>
                    <a:stretch>
                      <a:fillRect/>
                    </a:stretch>
                  </pic:blipFill>
                  <pic:spPr>
                    <a:xfrm>
                      <a:off x="0" y="0"/>
                      <a:ext cx="6458345" cy="634169"/>
                    </a:xfrm>
                    <a:prstGeom prst="rect">
                      <a:avLst/>
                    </a:prstGeom>
                  </pic:spPr>
                </pic:pic>
              </a:graphicData>
            </a:graphic>
          </wp:inline>
        </w:drawing>
      </w:r>
    </w:p>
    <w:p w:rsidR="008E4C42" w:rsidRDefault="0052680B">
      <w:pPr>
        <w:tabs>
          <w:tab w:val="center" w:pos="1277"/>
          <w:tab w:val="center" w:pos="8365"/>
        </w:tabs>
        <w:spacing w:after="147" w:line="259" w:lineRule="auto"/>
        <w:ind w:firstLine="0"/>
        <w:jc w:val="left"/>
      </w:pPr>
      <w:r>
        <w:tab/>
        <w:t>za dodavatele</w:t>
      </w:r>
      <w:r>
        <w:tab/>
        <w:t>za odběratele</w:t>
      </w:r>
    </w:p>
    <w:p w:rsidR="008E4C42" w:rsidRDefault="0052680B">
      <w:pPr>
        <w:spacing w:after="0" w:line="265" w:lineRule="auto"/>
        <w:ind w:left="481" w:hanging="10"/>
        <w:jc w:val="center"/>
      </w:pPr>
      <w:r>
        <w:rPr>
          <w:noProof/>
        </w:rPr>
        <w:drawing>
          <wp:inline distT="0" distB="0" distL="0" distR="0">
            <wp:extent cx="2707748" cy="963449"/>
            <wp:effectExtent l="0" t="0" r="0" b="0"/>
            <wp:docPr id="54334" name="Picture 54334"/>
            <wp:cNvGraphicFramePr/>
            <a:graphic xmlns:a="http://schemas.openxmlformats.org/drawingml/2006/main">
              <a:graphicData uri="http://schemas.openxmlformats.org/drawingml/2006/picture">
                <pic:pic xmlns:pic="http://schemas.openxmlformats.org/drawingml/2006/picture">
                  <pic:nvPicPr>
                    <pic:cNvPr id="54334" name="Picture 54334"/>
                    <pic:cNvPicPr/>
                  </pic:nvPicPr>
                  <pic:blipFill>
                    <a:blip r:embed="rId36"/>
                    <a:stretch>
                      <a:fillRect/>
                    </a:stretch>
                  </pic:blipFill>
                  <pic:spPr>
                    <a:xfrm>
                      <a:off x="0" y="0"/>
                      <a:ext cx="2707748" cy="963449"/>
                    </a:xfrm>
                    <a:prstGeom prst="rect">
                      <a:avLst/>
                    </a:prstGeom>
                  </pic:spPr>
                </pic:pic>
              </a:graphicData>
            </a:graphic>
          </wp:inline>
        </w:drawing>
      </w:r>
      <w:r>
        <w:rPr>
          <w:sz w:val="24"/>
        </w:rPr>
        <w:t>za MKB</w:t>
      </w:r>
    </w:p>
    <w:p w:rsidR="008E4C42" w:rsidRDefault="0052680B">
      <w:pPr>
        <w:spacing w:after="47" w:line="230" w:lineRule="auto"/>
        <w:ind w:left="3904" w:right="3174" w:firstLine="0"/>
        <w:jc w:val="center"/>
      </w:pPr>
      <w:r>
        <w:rPr>
          <w:noProof/>
        </w:rPr>
        <w:drawing>
          <wp:anchor distT="0" distB="0" distL="114300" distR="114300" simplePos="0" relativeHeight="251679744" behindDoc="0" locked="0" layoutInCell="1" allowOverlap="0">
            <wp:simplePos x="0" y="0"/>
            <wp:positionH relativeFrom="column">
              <wp:posOffset>2000318</wp:posOffset>
            </wp:positionH>
            <wp:positionV relativeFrom="paragraph">
              <wp:posOffset>195129</wp:posOffset>
            </wp:positionV>
            <wp:extent cx="725725" cy="402453"/>
            <wp:effectExtent l="0" t="0" r="0" b="0"/>
            <wp:wrapSquare wrapText="bothSides"/>
            <wp:docPr id="31815" name="Picture 31815"/>
            <wp:cNvGraphicFramePr/>
            <a:graphic xmlns:a="http://schemas.openxmlformats.org/drawingml/2006/main">
              <a:graphicData uri="http://schemas.openxmlformats.org/drawingml/2006/picture">
                <pic:pic xmlns:pic="http://schemas.openxmlformats.org/drawingml/2006/picture">
                  <pic:nvPicPr>
                    <pic:cNvPr id="31815" name="Picture 31815"/>
                    <pic:cNvPicPr/>
                  </pic:nvPicPr>
                  <pic:blipFill>
                    <a:blip r:embed="rId37"/>
                    <a:stretch>
                      <a:fillRect/>
                    </a:stretch>
                  </pic:blipFill>
                  <pic:spPr>
                    <a:xfrm>
                      <a:off x="0" y="0"/>
                      <a:ext cx="725725" cy="402453"/>
                    </a:xfrm>
                    <a:prstGeom prst="rect">
                      <a:avLst/>
                    </a:prstGeom>
                  </pic:spPr>
                </pic:pic>
              </a:graphicData>
            </a:graphic>
          </wp:anchor>
        </w:drawing>
      </w:r>
      <w:r>
        <w:rPr>
          <w:rFonts w:ascii="Courier New" w:eastAsia="Courier New" w:hAnsi="Courier New" w:cs="Courier New"/>
          <w:sz w:val="20"/>
        </w:rPr>
        <w:t>ČESKOMORAVSKÄ KOMODITNÍ BURZA KLADNO</w:t>
      </w:r>
    </w:p>
    <w:p w:rsidR="008E4C42" w:rsidRDefault="0052680B">
      <w:pPr>
        <w:spacing w:after="0" w:line="259" w:lineRule="auto"/>
        <w:ind w:left="3160" w:hanging="10"/>
        <w:jc w:val="center"/>
      </w:pPr>
      <w:r>
        <w:t>nám. Sítná 3 1 27</w:t>
      </w:r>
    </w:p>
    <w:p w:rsidR="008E4C42" w:rsidRDefault="0052680B">
      <w:pPr>
        <w:spacing w:after="3869" w:line="265" w:lineRule="auto"/>
        <w:ind w:left="3160" w:hanging="10"/>
        <w:jc w:val="center"/>
      </w:pPr>
      <w:r>
        <w:rPr>
          <w:sz w:val="24"/>
        </w:rPr>
        <w:t>272 01 Kladno O</w:t>
      </w:r>
    </w:p>
    <w:p w:rsidR="008E4C42" w:rsidRDefault="0052680B">
      <w:pPr>
        <w:spacing w:after="0" w:line="259" w:lineRule="auto"/>
        <w:ind w:left="-67" w:firstLine="0"/>
        <w:jc w:val="left"/>
      </w:pPr>
      <w:r>
        <w:rPr>
          <w:noProof/>
        </w:rPr>
        <w:lastRenderedPageBreak/>
        <w:drawing>
          <wp:inline distT="0" distB="0" distL="0" distR="0">
            <wp:extent cx="6129025" cy="36587"/>
            <wp:effectExtent l="0" t="0" r="0" b="0"/>
            <wp:docPr id="54336" name="Picture 54336"/>
            <wp:cNvGraphicFramePr/>
            <a:graphic xmlns:a="http://schemas.openxmlformats.org/drawingml/2006/main">
              <a:graphicData uri="http://schemas.openxmlformats.org/drawingml/2006/picture">
                <pic:pic xmlns:pic="http://schemas.openxmlformats.org/drawingml/2006/picture">
                  <pic:nvPicPr>
                    <pic:cNvPr id="54336" name="Picture 54336"/>
                    <pic:cNvPicPr/>
                  </pic:nvPicPr>
                  <pic:blipFill>
                    <a:blip r:embed="rId38"/>
                    <a:stretch>
                      <a:fillRect/>
                    </a:stretch>
                  </pic:blipFill>
                  <pic:spPr>
                    <a:xfrm>
                      <a:off x="0" y="0"/>
                      <a:ext cx="6129025" cy="36587"/>
                    </a:xfrm>
                    <a:prstGeom prst="rect">
                      <a:avLst/>
                    </a:prstGeom>
                  </pic:spPr>
                </pic:pic>
              </a:graphicData>
            </a:graphic>
          </wp:inline>
        </w:drawing>
      </w:r>
    </w:p>
    <w:p w:rsidR="008E4C42" w:rsidRDefault="0052680B">
      <w:pPr>
        <w:spacing w:after="0" w:line="259" w:lineRule="auto"/>
        <w:ind w:left="2487" w:firstLine="0"/>
        <w:jc w:val="center"/>
      </w:pPr>
      <w:proofErr w:type="spellStart"/>
      <w:r>
        <w:rPr>
          <w:sz w:val="18"/>
        </w:rPr>
        <w:t>pňčítacĺ</w:t>
      </w:r>
      <w:proofErr w:type="spellEnd"/>
      <w:r>
        <w:rPr>
          <w:sz w:val="18"/>
        </w:rPr>
        <w:t xml:space="preserve"> </w:t>
      </w:r>
    </w:p>
    <w:p w:rsidR="008E4C42" w:rsidRDefault="0052680B">
      <w:pPr>
        <w:spacing w:after="0" w:line="259" w:lineRule="auto"/>
        <w:ind w:left="-413" w:right="433" w:firstLine="0"/>
        <w:jc w:val="left"/>
      </w:pPr>
      <w:r>
        <w:rPr>
          <w:noProof/>
        </w:rPr>
        <w:lastRenderedPageBreak/>
        <w:drawing>
          <wp:anchor distT="0" distB="0" distL="114300" distR="114300" simplePos="0" relativeHeight="251680768" behindDoc="0" locked="0" layoutInCell="1" allowOverlap="0">
            <wp:simplePos x="0" y="0"/>
            <wp:positionH relativeFrom="page">
              <wp:posOffset>262237</wp:posOffset>
            </wp:positionH>
            <wp:positionV relativeFrom="page">
              <wp:posOffset>12192</wp:posOffset>
            </wp:positionV>
            <wp:extent cx="1012356" cy="10341864"/>
            <wp:effectExtent l="0" t="0" r="0" b="0"/>
            <wp:wrapTopAndBottom/>
            <wp:docPr id="54338" name="Picture 54338"/>
            <wp:cNvGraphicFramePr/>
            <a:graphic xmlns:a="http://schemas.openxmlformats.org/drawingml/2006/main">
              <a:graphicData uri="http://schemas.openxmlformats.org/drawingml/2006/picture">
                <pic:pic xmlns:pic="http://schemas.openxmlformats.org/drawingml/2006/picture">
                  <pic:nvPicPr>
                    <pic:cNvPr id="54338" name="Picture 54338"/>
                    <pic:cNvPicPr/>
                  </pic:nvPicPr>
                  <pic:blipFill>
                    <a:blip r:embed="rId39"/>
                    <a:stretch>
                      <a:fillRect/>
                    </a:stretch>
                  </pic:blipFill>
                  <pic:spPr>
                    <a:xfrm>
                      <a:off x="0" y="0"/>
                      <a:ext cx="1012356" cy="10341864"/>
                    </a:xfrm>
                    <a:prstGeom prst="rect">
                      <a:avLst/>
                    </a:prstGeom>
                  </pic:spPr>
                </pic:pic>
              </a:graphicData>
            </a:graphic>
          </wp:anchor>
        </w:drawing>
      </w:r>
    </w:p>
    <w:sectPr w:rsidR="008E4C42">
      <w:headerReference w:type="even" r:id="rId40"/>
      <w:headerReference w:type="default" r:id="rId41"/>
      <w:footerReference w:type="even" r:id="rId42"/>
      <w:footerReference w:type="default" r:id="rId43"/>
      <w:headerReference w:type="first" r:id="rId44"/>
      <w:footerReference w:type="first" r:id="rId45"/>
      <w:pgSz w:w="11563" w:h="16488"/>
      <w:pgMar w:top="240" w:right="893" w:bottom="423" w:left="103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80B" w:rsidRDefault="0052680B">
      <w:pPr>
        <w:spacing w:after="0" w:line="240" w:lineRule="auto"/>
      </w:pPr>
      <w:r>
        <w:separator/>
      </w:r>
    </w:p>
  </w:endnote>
  <w:endnote w:type="continuationSeparator" w:id="0">
    <w:p w:rsidR="0052680B" w:rsidRDefault="0052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42" w:rsidRDefault="0052680B">
    <w:pPr>
      <w:tabs>
        <w:tab w:val="right" w:pos="9489"/>
      </w:tabs>
      <w:spacing w:after="0" w:line="259" w:lineRule="auto"/>
      <w:ind w:left="-182" w:right="-1508" w:firstLine="0"/>
      <w:jc w:val="left"/>
    </w:pPr>
    <w:r>
      <w:rPr>
        <w:sz w:val="18"/>
      </w:rPr>
      <w:t xml:space="preserve">Dodávka plynu </w:t>
    </w:r>
    <w:r>
      <w:t xml:space="preserve">v </w:t>
    </w:r>
    <w:r>
      <w:rPr>
        <w:sz w:val="20"/>
      </w:rPr>
      <w:t xml:space="preserve">rámci </w:t>
    </w:r>
    <w:r>
      <w:t xml:space="preserve">SSDP </w:t>
    </w:r>
    <w:r>
      <w:rPr>
        <w:sz w:val="18"/>
      </w:rPr>
      <w:t xml:space="preserve">charakteru </w:t>
    </w:r>
    <w:proofErr w:type="gramStart"/>
    <w:r>
      <w:rPr>
        <w:sz w:val="18"/>
      </w:rPr>
      <w:t xml:space="preserve">maloodběr </w:t>
    </w:r>
    <w:r>
      <w:rPr>
        <w:sz w:val="20"/>
      </w:rPr>
      <w:t>- ceny</w:t>
    </w:r>
    <w:proofErr w:type="gramEnd"/>
    <w:r>
      <w:rPr>
        <w:sz w:val="20"/>
      </w:rPr>
      <w:t xml:space="preserve"> na </w:t>
    </w:r>
    <w:r>
      <w:rPr>
        <w:sz w:val="18"/>
      </w:rPr>
      <w:t xml:space="preserve">krátkodobém </w:t>
    </w:r>
    <w:r>
      <w:rPr>
        <w:sz w:val="16"/>
      </w:rPr>
      <w:t xml:space="preserve">trhu </w:t>
    </w:r>
    <w:r>
      <w:rPr>
        <w:sz w:val="24"/>
      </w:rPr>
      <w:t xml:space="preserve">- </w:t>
    </w:r>
    <w:proofErr w:type="spellStart"/>
    <w:r>
      <w:rPr>
        <w:sz w:val="18"/>
      </w:rPr>
      <w:t>přičítací</w:t>
    </w:r>
    <w:proofErr w:type="spellEnd"/>
    <w:r>
      <w:rPr>
        <w:sz w:val="18"/>
      </w:rPr>
      <w:t xml:space="preserve"> koeficient</w:t>
    </w:r>
    <w:r>
      <w:rPr>
        <w:sz w:val="18"/>
      </w:rPr>
      <w:tab/>
    </w:r>
    <w:r>
      <w:rPr>
        <w:rFonts w:ascii="Times New Roman" w:eastAsia="Times New Roman" w:hAnsi="Times New Roman" w:cs="Times New Roman"/>
        <w:sz w:val="18"/>
      </w:rPr>
      <w:t xml:space="preserve">Strana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sz w:val="18"/>
      </w:rPr>
      <w:t>(celkem 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42" w:rsidRDefault="0052680B">
    <w:pPr>
      <w:tabs>
        <w:tab w:val="right" w:pos="9489"/>
      </w:tabs>
      <w:spacing w:after="0" w:line="259" w:lineRule="auto"/>
      <w:ind w:left="-182" w:right="-1508" w:firstLine="0"/>
      <w:jc w:val="left"/>
    </w:pPr>
    <w:r>
      <w:rPr>
        <w:sz w:val="18"/>
      </w:rPr>
      <w:t xml:space="preserve">Dodávka plynu </w:t>
    </w:r>
    <w:r>
      <w:t xml:space="preserve">v </w:t>
    </w:r>
    <w:r>
      <w:rPr>
        <w:sz w:val="20"/>
      </w:rPr>
      <w:t xml:space="preserve">rámci </w:t>
    </w:r>
    <w:r>
      <w:t xml:space="preserve">SSDP </w:t>
    </w:r>
    <w:r>
      <w:rPr>
        <w:sz w:val="18"/>
      </w:rPr>
      <w:t xml:space="preserve">charakteru </w:t>
    </w:r>
    <w:proofErr w:type="gramStart"/>
    <w:r>
      <w:rPr>
        <w:sz w:val="18"/>
      </w:rPr>
      <w:t xml:space="preserve">maloodběr </w:t>
    </w:r>
    <w:r>
      <w:rPr>
        <w:sz w:val="20"/>
      </w:rPr>
      <w:t>- ceny</w:t>
    </w:r>
    <w:proofErr w:type="gramEnd"/>
    <w:r>
      <w:rPr>
        <w:sz w:val="20"/>
      </w:rPr>
      <w:t xml:space="preserve"> na </w:t>
    </w:r>
    <w:r>
      <w:rPr>
        <w:sz w:val="18"/>
      </w:rPr>
      <w:t xml:space="preserve">krátkodobém </w:t>
    </w:r>
    <w:r>
      <w:rPr>
        <w:sz w:val="16"/>
      </w:rPr>
      <w:t xml:space="preserve">trhu </w:t>
    </w:r>
    <w:r>
      <w:rPr>
        <w:sz w:val="24"/>
      </w:rPr>
      <w:t xml:space="preserve">- </w:t>
    </w:r>
    <w:proofErr w:type="spellStart"/>
    <w:r>
      <w:rPr>
        <w:sz w:val="18"/>
      </w:rPr>
      <w:t>přičítací</w:t>
    </w:r>
    <w:proofErr w:type="spellEnd"/>
    <w:r>
      <w:rPr>
        <w:sz w:val="18"/>
      </w:rPr>
      <w:t xml:space="preserve"> koeficient</w:t>
    </w:r>
    <w:r>
      <w:rPr>
        <w:sz w:val="18"/>
      </w:rPr>
      <w:tab/>
    </w:r>
    <w:r>
      <w:rPr>
        <w:rFonts w:ascii="Times New Roman" w:eastAsia="Times New Roman" w:hAnsi="Times New Roman" w:cs="Times New Roman"/>
        <w:sz w:val="18"/>
      </w:rPr>
      <w:t xml:space="preserve">Strana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sz w:val="18"/>
      </w:rPr>
      <w:t>(celkem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42" w:rsidRDefault="0052680B">
    <w:pPr>
      <w:tabs>
        <w:tab w:val="right" w:pos="9489"/>
      </w:tabs>
      <w:spacing w:after="0" w:line="259" w:lineRule="auto"/>
      <w:ind w:left="-182" w:right="-1508" w:firstLine="0"/>
      <w:jc w:val="left"/>
    </w:pPr>
    <w:r>
      <w:rPr>
        <w:sz w:val="18"/>
      </w:rPr>
      <w:t xml:space="preserve">Dodávka plynu </w:t>
    </w:r>
    <w:r>
      <w:t xml:space="preserve">v </w:t>
    </w:r>
    <w:r>
      <w:rPr>
        <w:sz w:val="20"/>
      </w:rPr>
      <w:t xml:space="preserve">rámci </w:t>
    </w:r>
    <w:r>
      <w:t xml:space="preserve">SSDP </w:t>
    </w:r>
    <w:r>
      <w:rPr>
        <w:sz w:val="18"/>
      </w:rPr>
      <w:t xml:space="preserve">charakteru </w:t>
    </w:r>
    <w:proofErr w:type="gramStart"/>
    <w:r>
      <w:rPr>
        <w:sz w:val="18"/>
      </w:rPr>
      <w:t xml:space="preserve">maloodběr </w:t>
    </w:r>
    <w:r>
      <w:rPr>
        <w:sz w:val="20"/>
      </w:rPr>
      <w:t>- ceny</w:t>
    </w:r>
    <w:proofErr w:type="gramEnd"/>
    <w:r>
      <w:rPr>
        <w:sz w:val="20"/>
      </w:rPr>
      <w:t xml:space="preserve"> na </w:t>
    </w:r>
    <w:r>
      <w:rPr>
        <w:sz w:val="18"/>
      </w:rPr>
      <w:t xml:space="preserve">krátkodobém </w:t>
    </w:r>
    <w:r>
      <w:rPr>
        <w:sz w:val="16"/>
      </w:rPr>
      <w:t xml:space="preserve">trhu </w:t>
    </w:r>
    <w:r>
      <w:rPr>
        <w:sz w:val="24"/>
      </w:rPr>
      <w:t xml:space="preserve">- </w:t>
    </w:r>
    <w:proofErr w:type="spellStart"/>
    <w:r>
      <w:rPr>
        <w:sz w:val="18"/>
      </w:rPr>
      <w:t>přičítací</w:t>
    </w:r>
    <w:proofErr w:type="spellEnd"/>
    <w:r>
      <w:rPr>
        <w:sz w:val="18"/>
      </w:rPr>
      <w:t xml:space="preserve"> koeficient</w:t>
    </w:r>
    <w:r>
      <w:rPr>
        <w:sz w:val="18"/>
      </w:rPr>
      <w:tab/>
    </w:r>
    <w:r>
      <w:rPr>
        <w:rFonts w:ascii="Times New Roman" w:eastAsia="Times New Roman" w:hAnsi="Times New Roman" w:cs="Times New Roman"/>
        <w:sz w:val="18"/>
      </w:rPr>
      <w:t xml:space="preserve">Strana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sz w:val="18"/>
      </w:rPr>
      <w:t>(celkem 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42" w:rsidRDefault="0052680B">
    <w:pPr>
      <w:tabs>
        <w:tab w:val="center" w:pos="6723"/>
        <w:tab w:val="right" w:pos="9633"/>
      </w:tabs>
      <w:spacing w:after="0" w:line="259" w:lineRule="auto"/>
      <w:ind w:left="-58" w:firstLine="0"/>
      <w:jc w:val="left"/>
    </w:pPr>
    <w:r>
      <w:rPr>
        <w:sz w:val="18"/>
      </w:rPr>
      <w:t xml:space="preserve">Dodávka plynu </w:t>
    </w:r>
    <w:r>
      <w:rPr>
        <w:sz w:val="20"/>
      </w:rPr>
      <w:t xml:space="preserve">v rámci </w:t>
    </w:r>
    <w:r>
      <w:t xml:space="preserve">SSDP </w:t>
    </w:r>
    <w:r>
      <w:rPr>
        <w:sz w:val="18"/>
      </w:rPr>
      <w:t xml:space="preserve">charakteru </w:t>
    </w:r>
    <w:proofErr w:type="spellStart"/>
    <w:proofErr w:type="gramStart"/>
    <w:r>
      <w:rPr>
        <w:sz w:val="18"/>
      </w:rPr>
      <w:t>maloodbér</w:t>
    </w:r>
    <w:proofErr w:type="spellEnd"/>
    <w:r>
      <w:rPr>
        <w:sz w:val="18"/>
      </w:rPr>
      <w:t xml:space="preserve"> </w:t>
    </w:r>
    <w:r>
      <w:rPr>
        <w:sz w:val="20"/>
      </w:rPr>
      <w:t>- ceny</w:t>
    </w:r>
    <w:proofErr w:type="gramEnd"/>
    <w:r>
      <w:rPr>
        <w:sz w:val="20"/>
      </w:rPr>
      <w:t xml:space="preserve"> na </w:t>
    </w:r>
    <w:r>
      <w:rPr>
        <w:sz w:val="18"/>
      </w:rPr>
      <w:t xml:space="preserve">krátkodobém trhu </w:t>
    </w:r>
    <w:r>
      <w:rPr>
        <w:sz w:val="20"/>
      </w:rPr>
      <w:t xml:space="preserve">- </w:t>
    </w:r>
    <w:r>
      <w:rPr>
        <w:sz w:val="20"/>
      </w:rPr>
      <w:tab/>
    </w:r>
    <w:r>
      <w:rPr>
        <w:sz w:val="18"/>
      </w:rPr>
      <w:t>koeficient</w:t>
    </w:r>
    <w:r>
      <w:rPr>
        <w:sz w:val="18"/>
      </w:rPr>
      <w:tab/>
    </w:r>
    <w:r>
      <w:rPr>
        <w:rFonts w:ascii="Times New Roman" w:eastAsia="Times New Roman" w:hAnsi="Times New Roman" w:cs="Times New Roman"/>
        <w:sz w:val="18"/>
      </w:rPr>
      <w:t xml:space="preserve">Strana </w:t>
    </w:r>
    <w:r>
      <w:fldChar w:fldCharType="begin"/>
    </w:r>
    <w:r>
      <w:instrText xml:space="preserve"> PAGE   \* MERGEFORMAT </w:instrText>
    </w:r>
    <w:r>
      <w:fldChar w:fldCharType="separate"/>
    </w:r>
    <w:r>
      <w:rPr>
        <w:rFonts w:ascii="Times New Roman" w:eastAsia="Times New Roman" w:hAnsi="Times New Roman" w:cs="Times New Roman"/>
        <w:sz w:val="26"/>
      </w:rPr>
      <w:t>8</w:t>
    </w:r>
    <w:r>
      <w:rPr>
        <w:rFonts w:ascii="Times New Roman" w:eastAsia="Times New Roman" w:hAnsi="Times New Roman" w:cs="Times New Roman"/>
        <w:sz w:val="26"/>
      </w:rPr>
      <w:fldChar w:fldCharType="end"/>
    </w:r>
    <w:r>
      <w:rPr>
        <w:rFonts w:ascii="Times New Roman" w:eastAsia="Times New Roman" w:hAnsi="Times New Roman" w:cs="Times New Roman"/>
        <w:sz w:val="26"/>
      </w:rPr>
      <w:t xml:space="preserve"> </w:t>
    </w:r>
    <w:r>
      <w:rPr>
        <w:rFonts w:ascii="Times New Roman" w:eastAsia="Times New Roman" w:hAnsi="Times New Roman" w:cs="Times New Roman"/>
        <w:sz w:val="18"/>
      </w:rPr>
      <w:t>(celkem 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42" w:rsidRDefault="008E4C42">
    <w:pPr>
      <w:spacing w:after="160" w:line="259" w:lineRule="auto"/>
      <w:ind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42" w:rsidRDefault="0052680B">
    <w:pPr>
      <w:tabs>
        <w:tab w:val="center" w:pos="6723"/>
        <w:tab w:val="right" w:pos="9633"/>
      </w:tabs>
      <w:spacing w:after="0" w:line="259" w:lineRule="auto"/>
      <w:ind w:left="-58" w:firstLine="0"/>
      <w:jc w:val="left"/>
    </w:pPr>
    <w:r>
      <w:rPr>
        <w:sz w:val="18"/>
      </w:rPr>
      <w:t xml:space="preserve">Dodávka plynu </w:t>
    </w:r>
    <w:r>
      <w:rPr>
        <w:sz w:val="20"/>
      </w:rPr>
      <w:t xml:space="preserve">v rámci </w:t>
    </w:r>
    <w:r>
      <w:t xml:space="preserve">SSDP </w:t>
    </w:r>
    <w:r>
      <w:rPr>
        <w:sz w:val="18"/>
      </w:rPr>
      <w:t xml:space="preserve">charakteru </w:t>
    </w:r>
    <w:proofErr w:type="spellStart"/>
    <w:proofErr w:type="gramStart"/>
    <w:r>
      <w:rPr>
        <w:sz w:val="18"/>
      </w:rPr>
      <w:t>maloodbér</w:t>
    </w:r>
    <w:proofErr w:type="spellEnd"/>
    <w:r>
      <w:rPr>
        <w:sz w:val="18"/>
      </w:rPr>
      <w:t xml:space="preserve"> </w:t>
    </w:r>
    <w:r>
      <w:rPr>
        <w:sz w:val="20"/>
      </w:rPr>
      <w:t>- ceny</w:t>
    </w:r>
    <w:proofErr w:type="gramEnd"/>
    <w:r>
      <w:rPr>
        <w:sz w:val="20"/>
      </w:rPr>
      <w:t xml:space="preserve"> na </w:t>
    </w:r>
    <w:r>
      <w:rPr>
        <w:sz w:val="18"/>
      </w:rPr>
      <w:t xml:space="preserve">krátkodobém trhu </w:t>
    </w:r>
    <w:r>
      <w:rPr>
        <w:sz w:val="20"/>
      </w:rPr>
      <w:t xml:space="preserve">- </w:t>
    </w:r>
    <w:r>
      <w:rPr>
        <w:sz w:val="20"/>
      </w:rPr>
      <w:tab/>
    </w:r>
    <w:r>
      <w:rPr>
        <w:sz w:val="18"/>
      </w:rPr>
      <w:t>koeficient</w:t>
    </w:r>
    <w:r>
      <w:rPr>
        <w:sz w:val="18"/>
      </w:rPr>
      <w:tab/>
    </w:r>
    <w:r>
      <w:rPr>
        <w:rFonts w:ascii="Times New Roman" w:eastAsia="Times New Roman" w:hAnsi="Times New Roman" w:cs="Times New Roman"/>
        <w:sz w:val="18"/>
      </w:rPr>
      <w:t xml:space="preserve">Strana </w:t>
    </w:r>
    <w:r>
      <w:fldChar w:fldCharType="begin"/>
    </w:r>
    <w:r>
      <w:instrText xml:space="preserve"> PAGE   \* MERGEFORMAT </w:instrText>
    </w:r>
    <w:r>
      <w:fldChar w:fldCharType="separate"/>
    </w:r>
    <w:r>
      <w:rPr>
        <w:rFonts w:ascii="Times New Roman" w:eastAsia="Times New Roman" w:hAnsi="Times New Roman" w:cs="Times New Roman"/>
        <w:sz w:val="26"/>
      </w:rPr>
      <w:t>8</w:t>
    </w:r>
    <w:r>
      <w:rPr>
        <w:rFonts w:ascii="Times New Roman" w:eastAsia="Times New Roman" w:hAnsi="Times New Roman" w:cs="Times New Roman"/>
        <w:sz w:val="26"/>
      </w:rPr>
      <w:fldChar w:fldCharType="end"/>
    </w:r>
    <w:r>
      <w:rPr>
        <w:rFonts w:ascii="Times New Roman" w:eastAsia="Times New Roman" w:hAnsi="Times New Roman" w:cs="Times New Roman"/>
        <w:sz w:val="26"/>
      </w:rPr>
      <w:t xml:space="preserve"> </w:t>
    </w:r>
    <w:r>
      <w:rPr>
        <w:rFonts w:ascii="Times New Roman" w:eastAsia="Times New Roman" w:hAnsi="Times New Roman" w:cs="Times New Roman"/>
        <w:sz w:val="18"/>
      </w:rPr>
      <w:t>(celkem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80B" w:rsidRDefault="0052680B">
      <w:pPr>
        <w:spacing w:after="0" w:line="240" w:lineRule="auto"/>
      </w:pPr>
      <w:r>
        <w:separator/>
      </w:r>
    </w:p>
  </w:footnote>
  <w:footnote w:type="continuationSeparator" w:id="0">
    <w:p w:rsidR="0052680B" w:rsidRDefault="00526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42" w:rsidRDefault="0052680B">
    <w:pPr>
      <w:spacing w:after="3" w:line="259" w:lineRule="auto"/>
      <w:ind w:left="1364" w:firstLine="0"/>
      <w:jc w:val="left"/>
    </w:pPr>
    <w:r>
      <w:rPr>
        <w:rFonts w:ascii="Times New Roman" w:eastAsia="Times New Roman" w:hAnsi="Times New Roman" w:cs="Times New Roman"/>
        <w:sz w:val="12"/>
      </w:rPr>
      <w:t>ČESKOMORAVSKÁ</w:t>
    </w:r>
  </w:p>
  <w:p w:rsidR="008E4C42" w:rsidRDefault="0052680B">
    <w:pPr>
      <w:spacing w:after="0" w:line="259" w:lineRule="auto"/>
      <w:ind w:left="1037" w:firstLine="0"/>
      <w:jc w:val="left"/>
    </w:pPr>
    <w:r>
      <w:rPr>
        <w:sz w:val="14"/>
      </w:rPr>
      <w:t xml:space="preserve">KOMODITNÍ BURZA </w:t>
    </w:r>
    <w:r>
      <w:rPr>
        <w:sz w:val="16"/>
      </w:rPr>
      <w:t>KLADNO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42" w:rsidRDefault="0052680B">
    <w:pPr>
      <w:spacing w:after="3" w:line="259" w:lineRule="auto"/>
      <w:ind w:left="1364" w:firstLine="0"/>
      <w:jc w:val="left"/>
    </w:pPr>
    <w:r>
      <w:rPr>
        <w:rFonts w:ascii="Times New Roman" w:eastAsia="Times New Roman" w:hAnsi="Times New Roman" w:cs="Times New Roman"/>
        <w:sz w:val="12"/>
      </w:rPr>
      <w:t>ČESKOMORAVSKÁ</w:t>
    </w:r>
  </w:p>
  <w:p w:rsidR="008E4C42" w:rsidRDefault="0052680B">
    <w:pPr>
      <w:spacing w:after="0" w:line="259" w:lineRule="auto"/>
      <w:ind w:left="1037" w:firstLine="0"/>
      <w:jc w:val="left"/>
    </w:pPr>
    <w:r>
      <w:rPr>
        <w:sz w:val="14"/>
      </w:rPr>
      <w:t xml:space="preserve">KOMODITNÍ BURZA </w:t>
    </w:r>
    <w:r>
      <w:rPr>
        <w:sz w:val="16"/>
      </w:rPr>
      <w:t>KLADNO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42" w:rsidRDefault="0052680B">
    <w:pPr>
      <w:spacing w:after="3" w:line="259" w:lineRule="auto"/>
      <w:ind w:left="1364" w:firstLine="0"/>
      <w:jc w:val="left"/>
    </w:pPr>
    <w:r>
      <w:rPr>
        <w:rFonts w:ascii="Times New Roman" w:eastAsia="Times New Roman" w:hAnsi="Times New Roman" w:cs="Times New Roman"/>
        <w:sz w:val="12"/>
      </w:rPr>
      <w:t>ČESKOMORAVSKÁ</w:t>
    </w:r>
  </w:p>
  <w:p w:rsidR="008E4C42" w:rsidRDefault="0052680B">
    <w:pPr>
      <w:spacing w:after="0" w:line="259" w:lineRule="auto"/>
      <w:ind w:left="1037" w:firstLine="0"/>
      <w:jc w:val="left"/>
    </w:pPr>
    <w:r>
      <w:rPr>
        <w:sz w:val="14"/>
      </w:rPr>
      <w:t xml:space="preserve">KOMODITNÍ BURZA </w:t>
    </w:r>
    <w:r>
      <w:rPr>
        <w:sz w:val="16"/>
      </w:rPr>
      <w:t>KLADNO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42" w:rsidRDefault="0052680B">
    <w:pPr>
      <w:spacing w:after="3" w:line="259" w:lineRule="auto"/>
      <w:ind w:left="1527" w:firstLine="0"/>
      <w:jc w:val="left"/>
    </w:pPr>
    <w:r>
      <w:rPr>
        <w:rFonts w:ascii="Times New Roman" w:eastAsia="Times New Roman" w:hAnsi="Times New Roman" w:cs="Times New Roman"/>
        <w:sz w:val="12"/>
      </w:rPr>
      <w:t>ČESKOMORAVSKÁ</w:t>
    </w:r>
  </w:p>
  <w:p w:rsidR="008E4C42" w:rsidRDefault="0052680B">
    <w:pPr>
      <w:spacing w:after="0" w:line="259" w:lineRule="auto"/>
      <w:ind w:left="1200" w:firstLine="0"/>
      <w:jc w:val="left"/>
    </w:pPr>
    <w:r>
      <w:rPr>
        <w:sz w:val="14"/>
      </w:rPr>
      <w:t xml:space="preserve">KOMODITNÍ BURZA </w:t>
    </w:r>
    <w:r>
      <w:rPr>
        <w:sz w:val="16"/>
      </w:rPr>
      <w:t>KLADNO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42" w:rsidRDefault="008E4C42">
    <w:pPr>
      <w:spacing w:after="160" w:line="259" w:lineRule="auto"/>
      <w:ind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42" w:rsidRDefault="0052680B">
    <w:pPr>
      <w:spacing w:after="3" w:line="259" w:lineRule="auto"/>
      <w:ind w:left="1527" w:firstLine="0"/>
      <w:jc w:val="left"/>
    </w:pPr>
    <w:r>
      <w:rPr>
        <w:rFonts w:ascii="Times New Roman" w:eastAsia="Times New Roman" w:hAnsi="Times New Roman" w:cs="Times New Roman"/>
        <w:sz w:val="12"/>
      </w:rPr>
      <w:t>ČESKOMORAVSKÁ</w:t>
    </w:r>
  </w:p>
  <w:p w:rsidR="008E4C42" w:rsidRDefault="0052680B">
    <w:pPr>
      <w:spacing w:after="0" w:line="259" w:lineRule="auto"/>
      <w:ind w:left="1200" w:firstLine="0"/>
      <w:jc w:val="left"/>
    </w:pPr>
    <w:r>
      <w:rPr>
        <w:sz w:val="14"/>
      </w:rPr>
      <w:t xml:space="preserve">KOMODITNÍ BURZA </w:t>
    </w:r>
    <w:r>
      <w:rPr>
        <w:sz w:val="16"/>
      </w:rPr>
      <w:t>KLADNO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5A0"/>
    <w:multiLevelType w:val="hybridMultilevel"/>
    <w:tmpl w:val="AEA8DF38"/>
    <w:lvl w:ilvl="0" w:tplc="23B654DA">
      <w:start w:val="1"/>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28F2D2">
      <w:start w:val="1"/>
      <w:numFmt w:val="lowerLetter"/>
      <w:lvlText w:val="%2"/>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5CB822">
      <w:start w:val="1"/>
      <w:numFmt w:val="lowerRoman"/>
      <w:lvlText w:val="%3"/>
      <w:lvlJc w:val="left"/>
      <w:pPr>
        <w:ind w:left="1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F269E6">
      <w:start w:val="1"/>
      <w:numFmt w:val="decimal"/>
      <w:lvlText w:val="%4"/>
      <w:lvlJc w:val="left"/>
      <w:pPr>
        <w:ind w:left="2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24D7E8">
      <w:start w:val="1"/>
      <w:numFmt w:val="lowerLetter"/>
      <w:lvlText w:val="%5"/>
      <w:lvlJc w:val="left"/>
      <w:pPr>
        <w:ind w:left="3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64791E">
      <w:start w:val="1"/>
      <w:numFmt w:val="lowerRoman"/>
      <w:lvlText w:val="%6"/>
      <w:lvlJc w:val="left"/>
      <w:pPr>
        <w:ind w:left="3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3A37DE">
      <w:start w:val="1"/>
      <w:numFmt w:val="decimal"/>
      <w:lvlText w:val="%7"/>
      <w:lvlJc w:val="left"/>
      <w:pPr>
        <w:ind w:left="4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06362C">
      <w:start w:val="1"/>
      <w:numFmt w:val="lowerLetter"/>
      <w:lvlText w:val="%8"/>
      <w:lvlJc w:val="left"/>
      <w:pPr>
        <w:ind w:left="5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8644BE">
      <w:start w:val="1"/>
      <w:numFmt w:val="lowerRoman"/>
      <w:lvlText w:val="%9"/>
      <w:lvlJc w:val="left"/>
      <w:pPr>
        <w:ind w:left="6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8C53B9"/>
    <w:multiLevelType w:val="hybridMultilevel"/>
    <w:tmpl w:val="60A871FA"/>
    <w:lvl w:ilvl="0" w:tplc="14F660D2">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00B596">
      <w:start w:val="1"/>
      <w:numFmt w:val="lowerLetter"/>
      <w:lvlText w:val="%2)"/>
      <w:lvlJc w:val="left"/>
      <w:pPr>
        <w:ind w:left="4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B7AF1EE">
      <w:start w:val="1"/>
      <w:numFmt w:val="lowerRoman"/>
      <w:lvlText w:val="%3"/>
      <w:lvlJc w:val="left"/>
      <w:pPr>
        <w:ind w:left="13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EE075FE">
      <w:start w:val="1"/>
      <w:numFmt w:val="decimal"/>
      <w:lvlText w:val="%4"/>
      <w:lvlJc w:val="left"/>
      <w:pPr>
        <w:ind w:left="20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DA8F9AE">
      <w:start w:val="1"/>
      <w:numFmt w:val="lowerLetter"/>
      <w:lvlText w:val="%5"/>
      <w:lvlJc w:val="left"/>
      <w:pPr>
        <w:ind w:left="27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76CD2A2">
      <w:start w:val="1"/>
      <w:numFmt w:val="lowerRoman"/>
      <w:lvlText w:val="%6"/>
      <w:lvlJc w:val="left"/>
      <w:pPr>
        <w:ind w:left="34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396C63A">
      <w:start w:val="1"/>
      <w:numFmt w:val="decimal"/>
      <w:lvlText w:val="%7"/>
      <w:lvlJc w:val="left"/>
      <w:pPr>
        <w:ind w:left="4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A463FCA">
      <w:start w:val="1"/>
      <w:numFmt w:val="lowerLetter"/>
      <w:lvlText w:val="%8"/>
      <w:lvlJc w:val="left"/>
      <w:pPr>
        <w:ind w:left="4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8C89FF2">
      <w:start w:val="1"/>
      <w:numFmt w:val="lowerRoman"/>
      <w:lvlText w:val="%9"/>
      <w:lvlJc w:val="left"/>
      <w:pPr>
        <w:ind w:left="56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452663"/>
    <w:multiLevelType w:val="hybridMultilevel"/>
    <w:tmpl w:val="9E00D898"/>
    <w:lvl w:ilvl="0" w:tplc="C06EF1E6">
      <w:start w:val="1"/>
      <w:numFmt w:val="bullet"/>
      <w:lvlText w:val="•"/>
      <w:lvlJc w:val="left"/>
      <w:pPr>
        <w:ind w:left="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F69920">
      <w:start w:val="1"/>
      <w:numFmt w:val="bullet"/>
      <w:lvlText w:val="o"/>
      <w:lvlJc w:val="left"/>
      <w:pPr>
        <w:ind w:left="1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C6EF28">
      <w:start w:val="1"/>
      <w:numFmt w:val="bullet"/>
      <w:lvlText w:val="▪"/>
      <w:lvlJc w:val="left"/>
      <w:pPr>
        <w:ind w:left="1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7C6E86">
      <w:start w:val="1"/>
      <w:numFmt w:val="bullet"/>
      <w:lvlText w:val="•"/>
      <w:lvlJc w:val="left"/>
      <w:pPr>
        <w:ind w:left="2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342474">
      <w:start w:val="1"/>
      <w:numFmt w:val="bullet"/>
      <w:lvlText w:val="o"/>
      <w:lvlJc w:val="left"/>
      <w:pPr>
        <w:ind w:left="3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3A5F38">
      <w:start w:val="1"/>
      <w:numFmt w:val="bullet"/>
      <w:lvlText w:val="▪"/>
      <w:lvlJc w:val="left"/>
      <w:pPr>
        <w:ind w:left="3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3286E6">
      <w:start w:val="1"/>
      <w:numFmt w:val="bullet"/>
      <w:lvlText w:val="•"/>
      <w:lvlJc w:val="left"/>
      <w:pPr>
        <w:ind w:left="4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56EE6A">
      <w:start w:val="1"/>
      <w:numFmt w:val="bullet"/>
      <w:lvlText w:val="o"/>
      <w:lvlJc w:val="left"/>
      <w:pPr>
        <w:ind w:left="5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EA8726">
      <w:start w:val="1"/>
      <w:numFmt w:val="bullet"/>
      <w:lvlText w:val="▪"/>
      <w:lvlJc w:val="left"/>
      <w:pPr>
        <w:ind w:left="6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847DD4"/>
    <w:multiLevelType w:val="hybridMultilevel"/>
    <w:tmpl w:val="FB383D70"/>
    <w:lvl w:ilvl="0" w:tplc="6C208866">
      <w:start w:val="1"/>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5AF162">
      <w:start w:val="1"/>
      <w:numFmt w:val="lowerLetter"/>
      <w:lvlText w:val="%2"/>
      <w:lvlJc w:val="left"/>
      <w:pPr>
        <w:ind w:left="1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748624">
      <w:start w:val="1"/>
      <w:numFmt w:val="lowerRoman"/>
      <w:lvlText w:val="%3"/>
      <w:lvlJc w:val="left"/>
      <w:pPr>
        <w:ind w:left="1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7CF2D2">
      <w:start w:val="1"/>
      <w:numFmt w:val="decimal"/>
      <w:lvlText w:val="%4"/>
      <w:lvlJc w:val="left"/>
      <w:pPr>
        <w:ind w:left="2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901192">
      <w:start w:val="1"/>
      <w:numFmt w:val="lowerLetter"/>
      <w:lvlText w:val="%5"/>
      <w:lvlJc w:val="left"/>
      <w:pPr>
        <w:ind w:left="3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36F64C">
      <w:start w:val="1"/>
      <w:numFmt w:val="lowerRoman"/>
      <w:lvlText w:val="%6"/>
      <w:lvlJc w:val="left"/>
      <w:pPr>
        <w:ind w:left="3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62560A">
      <w:start w:val="1"/>
      <w:numFmt w:val="decimal"/>
      <w:lvlText w:val="%7"/>
      <w:lvlJc w:val="left"/>
      <w:pPr>
        <w:ind w:left="4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C06D7A">
      <w:start w:val="1"/>
      <w:numFmt w:val="lowerLetter"/>
      <w:lvlText w:val="%8"/>
      <w:lvlJc w:val="left"/>
      <w:pPr>
        <w:ind w:left="5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A843DC">
      <w:start w:val="1"/>
      <w:numFmt w:val="lowerRoman"/>
      <w:lvlText w:val="%9"/>
      <w:lvlJc w:val="left"/>
      <w:pPr>
        <w:ind w:left="6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841ECE"/>
    <w:multiLevelType w:val="hybridMultilevel"/>
    <w:tmpl w:val="D370F366"/>
    <w:lvl w:ilvl="0" w:tplc="58D09536">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907C16">
      <w:start w:val="1"/>
      <w:numFmt w:val="lowerLetter"/>
      <w:lvlText w:val="%2)"/>
      <w:lvlJc w:val="left"/>
      <w:pPr>
        <w:ind w:left="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508FE0A">
      <w:start w:val="1"/>
      <w:numFmt w:val="lowerRoman"/>
      <w:lvlText w:val="%3"/>
      <w:lvlJc w:val="left"/>
      <w:pPr>
        <w:ind w:left="13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A8CB358">
      <w:start w:val="1"/>
      <w:numFmt w:val="decimal"/>
      <w:lvlText w:val="%4"/>
      <w:lvlJc w:val="left"/>
      <w:pPr>
        <w:ind w:left="20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D0016B6">
      <w:start w:val="1"/>
      <w:numFmt w:val="lowerLetter"/>
      <w:lvlText w:val="%5"/>
      <w:lvlJc w:val="left"/>
      <w:pPr>
        <w:ind w:left="27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0120038">
      <w:start w:val="1"/>
      <w:numFmt w:val="lowerRoman"/>
      <w:lvlText w:val="%6"/>
      <w:lvlJc w:val="left"/>
      <w:pPr>
        <w:ind w:left="34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8A2CA08">
      <w:start w:val="1"/>
      <w:numFmt w:val="decimal"/>
      <w:lvlText w:val="%7"/>
      <w:lvlJc w:val="left"/>
      <w:pPr>
        <w:ind w:left="42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3349FB8">
      <w:start w:val="1"/>
      <w:numFmt w:val="lowerLetter"/>
      <w:lvlText w:val="%8"/>
      <w:lvlJc w:val="left"/>
      <w:pPr>
        <w:ind w:left="49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D7E1A3C">
      <w:start w:val="1"/>
      <w:numFmt w:val="lowerRoman"/>
      <w:lvlText w:val="%9"/>
      <w:lvlJc w:val="left"/>
      <w:pPr>
        <w:ind w:left="56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4F637D7"/>
    <w:multiLevelType w:val="hybridMultilevel"/>
    <w:tmpl w:val="FDA8BFE6"/>
    <w:lvl w:ilvl="0" w:tplc="5BFC5E90">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5ACB66">
      <w:start w:val="1"/>
      <w:numFmt w:val="lowerLetter"/>
      <w:lvlText w:val="%2)"/>
      <w:lvlJc w:val="left"/>
      <w:pPr>
        <w:ind w:left="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D60F152">
      <w:start w:val="1"/>
      <w:numFmt w:val="lowerRoman"/>
      <w:lvlText w:val="%3"/>
      <w:lvlJc w:val="left"/>
      <w:pPr>
        <w:ind w:left="13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810635C">
      <w:start w:val="1"/>
      <w:numFmt w:val="decimal"/>
      <w:lvlText w:val="%4"/>
      <w:lvlJc w:val="left"/>
      <w:pPr>
        <w:ind w:left="20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A4CC918">
      <w:start w:val="1"/>
      <w:numFmt w:val="lowerLetter"/>
      <w:lvlText w:val="%5"/>
      <w:lvlJc w:val="left"/>
      <w:pPr>
        <w:ind w:left="27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8CE1F96">
      <w:start w:val="1"/>
      <w:numFmt w:val="lowerRoman"/>
      <w:lvlText w:val="%6"/>
      <w:lvlJc w:val="left"/>
      <w:pPr>
        <w:ind w:left="34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4087BB6">
      <w:start w:val="1"/>
      <w:numFmt w:val="decimal"/>
      <w:lvlText w:val="%7"/>
      <w:lvlJc w:val="left"/>
      <w:pPr>
        <w:ind w:left="42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2661068">
      <w:start w:val="1"/>
      <w:numFmt w:val="lowerLetter"/>
      <w:lvlText w:val="%8"/>
      <w:lvlJc w:val="left"/>
      <w:pPr>
        <w:ind w:left="49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3C87CB2">
      <w:start w:val="1"/>
      <w:numFmt w:val="lowerRoman"/>
      <w:lvlText w:val="%9"/>
      <w:lvlJc w:val="left"/>
      <w:pPr>
        <w:ind w:left="56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3A15F42"/>
    <w:multiLevelType w:val="hybridMultilevel"/>
    <w:tmpl w:val="50A65624"/>
    <w:lvl w:ilvl="0" w:tplc="132CD9AA">
      <w:start w:val="3"/>
      <w:numFmt w:val="decimal"/>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8C8044">
      <w:start w:val="1"/>
      <w:numFmt w:val="lowerLetter"/>
      <w:lvlText w:val="%2"/>
      <w:lvlJc w:val="left"/>
      <w:pPr>
        <w:ind w:left="1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CA96C">
      <w:start w:val="1"/>
      <w:numFmt w:val="lowerRoman"/>
      <w:lvlText w:val="%3"/>
      <w:lvlJc w:val="left"/>
      <w:pPr>
        <w:ind w:left="2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F269A6">
      <w:start w:val="1"/>
      <w:numFmt w:val="decimal"/>
      <w:lvlText w:val="%4"/>
      <w:lvlJc w:val="left"/>
      <w:pPr>
        <w:ind w:left="2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88641A">
      <w:start w:val="1"/>
      <w:numFmt w:val="lowerLetter"/>
      <w:lvlText w:val="%5"/>
      <w:lvlJc w:val="left"/>
      <w:pPr>
        <w:ind w:left="3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80AE18">
      <w:start w:val="1"/>
      <w:numFmt w:val="lowerRoman"/>
      <w:lvlText w:val="%6"/>
      <w:lvlJc w:val="left"/>
      <w:pPr>
        <w:ind w:left="4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C06A18">
      <w:start w:val="1"/>
      <w:numFmt w:val="decimal"/>
      <w:lvlText w:val="%7"/>
      <w:lvlJc w:val="left"/>
      <w:pPr>
        <w:ind w:left="4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D62812">
      <w:start w:val="1"/>
      <w:numFmt w:val="lowerLetter"/>
      <w:lvlText w:val="%8"/>
      <w:lvlJc w:val="left"/>
      <w:pPr>
        <w:ind w:left="5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C24338">
      <w:start w:val="1"/>
      <w:numFmt w:val="lowerRoman"/>
      <w:lvlText w:val="%9"/>
      <w:lvlJc w:val="left"/>
      <w:pPr>
        <w:ind w:left="6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DA512A"/>
    <w:multiLevelType w:val="hybridMultilevel"/>
    <w:tmpl w:val="FEAE1BC4"/>
    <w:lvl w:ilvl="0" w:tplc="96DC0E60">
      <w:start w:val="1"/>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54375A">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E29BD6">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A8539E">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2893AC">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A645AA">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10124C">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B41BAC">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E46B02">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2F674E"/>
    <w:multiLevelType w:val="hybridMultilevel"/>
    <w:tmpl w:val="CDF26844"/>
    <w:lvl w:ilvl="0" w:tplc="922E9900">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CCDC30">
      <w:start w:val="1"/>
      <w:numFmt w:val="lowerLetter"/>
      <w:lvlText w:val="%2"/>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08A53A">
      <w:start w:val="1"/>
      <w:numFmt w:val="lowerRoman"/>
      <w:lvlText w:val="%3"/>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12E314">
      <w:start w:val="1"/>
      <w:numFmt w:val="decimal"/>
      <w:lvlText w:val="%4"/>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4C00FA">
      <w:start w:val="1"/>
      <w:numFmt w:val="lowerLetter"/>
      <w:lvlText w:val="%5"/>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F2B2A0">
      <w:start w:val="1"/>
      <w:numFmt w:val="lowerRoman"/>
      <w:lvlText w:val="%6"/>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3CDE56">
      <w:start w:val="1"/>
      <w:numFmt w:val="decimal"/>
      <w:lvlText w:val="%7"/>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52EE44">
      <w:start w:val="1"/>
      <w:numFmt w:val="lowerLetter"/>
      <w:lvlText w:val="%8"/>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DE5D1A">
      <w:start w:val="1"/>
      <w:numFmt w:val="lowerRoman"/>
      <w:lvlText w:val="%9"/>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902A8E"/>
    <w:multiLevelType w:val="hybridMultilevel"/>
    <w:tmpl w:val="957A0F68"/>
    <w:lvl w:ilvl="0" w:tplc="774CFF0C">
      <w:start w:val="1"/>
      <w:numFmt w:val="decimal"/>
      <w:lvlText w:val="%1."/>
      <w:lvlJc w:val="left"/>
      <w:pPr>
        <w:ind w:left="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0AF3DA">
      <w:start w:val="1"/>
      <w:numFmt w:val="lowerLetter"/>
      <w:lvlText w:val="%2"/>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24CB4A">
      <w:start w:val="1"/>
      <w:numFmt w:val="lowerRoman"/>
      <w:lvlText w:val="%3"/>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1EA932">
      <w:start w:val="1"/>
      <w:numFmt w:val="decimal"/>
      <w:lvlText w:val="%4"/>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8096BC">
      <w:start w:val="1"/>
      <w:numFmt w:val="lowerLetter"/>
      <w:lvlText w:val="%5"/>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7C4A34">
      <w:start w:val="1"/>
      <w:numFmt w:val="lowerRoman"/>
      <w:lvlText w:val="%6"/>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480E7E">
      <w:start w:val="1"/>
      <w:numFmt w:val="decimal"/>
      <w:lvlText w:val="%7"/>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B22ED8">
      <w:start w:val="1"/>
      <w:numFmt w:val="lowerLetter"/>
      <w:lvlText w:val="%8"/>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925734">
      <w:start w:val="1"/>
      <w:numFmt w:val="lowerRoman"/>
      <w:lvlText w:val="%9"/>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2437ECB"/>
    <w:multiLevelType w:val="hybridMultilevel"/>
    <w:tmpl w:val="06A68036"/>
    <w:lvl w:ilvl="0" w:tplc="186E8BAA">
      <w:start w:val="4"/>
      <w:numFmt w:val="decimal"/>
      <w:lvlText w:val="%1."/>
      <w:lvlJc w:val="left"/>
      <w:pPr>
        <w:ind w:left="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242CE2A">
      <w:start w:val="1"/>
      <w:numFmt w:val="lowerLetter"/>
      <w:lvlText w:val="%2"/>
      <w:lvlJc w:val="left"/>
      <w:pPr>
        <w:ind w:left="1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9E874FE">
      <w:start w:val="1"/>
      <w:numFmt w:val="lowerRoman"/>
      <w:lvlText w:val="%3"/>
      <w:lvlJc w:val="left"/>
      <w:pPr>
        <w:ind w:left="1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7CA9788">
      <w:start w:val="1"/>
      <w:numFmt w:val="decimal"/>
      <w:lvlText w:val="%4"/>
      <w:lvlJc w:val="left"/>
      <w:pPr>
        <w:ind w:left="2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A862806">
      <w:start w:val="1"/>
      <w:numFmt w:val="lowerLetter"/>
      <w:lvlText w:val="%5"/>
      <w:lvlJc w:val="left"/>
      <w:pPr>
        <w:ind w:left="3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6729260">
      <w:start w:val="1"/>
      <w:numFmt w:val="lowerRoman"/>
      <w:lvlText w:val="%6"/>
      <w:lvlJc w:val="left"/>
      <w:pPr>
        <w:ind w:left="3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97EA698">
      <w:start w:val="1"/>
      <w:numFmt w:val="decimal"/>
      <w:lvlText w:val="%7"/>
      <w:lvlJc w:val="left"/>
      <w:pPr>
        <w:ind w:left="47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08E3AF2">
      <w:start w:val="1"/>
      <w:numFmt w:val="lowerLetter"/>
      <w:lvlText w:val="%8"/>
      <w:lvlJc w:val="left"/>
      <w:pPr>
        <w:ind w:left="54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33CC5E4">
      <w:start w:val="1"/>
      <w:numFmt w:val="lowerRoman"/>
      <w:lvlText w:val="%9"/>
      <w:lvlJc w:val="left"/>
      <w:pPr>
        <w:ind w:left="6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67EF0F39"/>
    <w:multiLevelType w:val="hybridMultilevel"/>
    <w:tmpl w:val="7702E954"/>
    <w:lvl w:ilvl="0" w:tplc="E70EA3FA">
      <w:start w:val="1"/>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E2245A">
      <w:start w:val="1"/>
      <w:numFmt w:val="lowerLetter"/>
      <w:lvlText w:val="%2"/>
      <w:lvlJc w:val="left"/>
      <w:pPr>
        <w:ind w:left="1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48A846">
      <w:start w:val="1"/>
      <w:numFmt w:val="lowerRoman"/>
      <w:lvlText w:val="%3"/>
      <w:lvlJc w:val="left"/>
      <w:pPr>
        <w:ind w:left="1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EC525C">
      <w:start w:val="1"/>
      <w:numFmt w:val="decimal"/>
      <w:lvlText w:val="%4"/>
      <w:lvlJc w:val="left"/>
      <w:pPr>
        <w:ind w:left="2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3A8342">
      <w:start w:val="1"/>
      <w:numFmt w:val="lowerLetter"/>
      <w:lvlText w:val="%5"/>
      <w:lvlJc w:val="left"/>
      <w:pPr>
        <w:ind w:left="3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26C57E">
      <w:start w:val="1"/>
      <w:numFmt w:val="lowerRoman"/>
      <w:lvlText w:val="%6"/>
      <w:lvlJc w:val="left"/>
      <w:pPr>
        <w:ind w:left="3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24BF2E">
      <w:start w:val="1"/>
      <w:numFmt w:val="decimal"/>
      <w:lvlText w:val="%7"/>
      <w:lvlJc w:val="left"/>
      <w:pPr>
        <w:ind w:left="4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BE8EF4">
      <w:start w:val="1"/>
      <w:numFmt w:val="lowerLetter"/>
      <w:lvlText w:val="%8"/>
      <w:lvlJc w:val="left"/>
      <w:pPr>
        <w:ind w:left="5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466902">
      <w:start w:val="1"/>
      <w:numFmt w:val="lowerRoman"/>
      <w:lvlText w:val="%9"/>
      <w:lvlJc w:val="left"/>
      <w:pPr>
        <w:ind w:left="6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83D2E08"/>
    <w:multiLevelType w:val="hybridMultilevel"/>
    <w:tmpl w:val="344A8AFA"/>
    <w:lvl w:ilvl="0" w:tplc="203E3722">
      <w:start w:val="1"/>
      <w:numFmt w:val="decimal"/>
      <w:lvlText w:val="%1."/>
      <w:lvlJc w:val="left"/>
      <w:pPr>
        <w:ind w:left="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8C908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249A08">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3619E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0AE0FC">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E2E534">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4E0AFA">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80DCB4">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BA758E">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2"/>
  </w:num>
  <w:num w:numId="4">
    <w:abstractNumId w:val="6"/>
  </w:num>
  <w:num w:numId="5">
    <w:abstractNumId w:val="1"/>
  </w:num>
  <w:num w:numId="6">
    <w:abstractNumId w:val="7"/>
  </w:num>
  <w:num w:numId="7">
    <w:abstractNumId w:val="8"/>
  </w:num>
  <w:num w:numId="8">
    <w:abstractNumId w:val="5"/>
  </w:num>
  <w:num w:numId="9">
    <w:abstractNumId w:val="4"/>
  </w:num>
  <w:num w:numId="10">
    <w:abstractNumId w:val="11"/>
  </w:num>
  <w:num w:numId="11">
    <w:abstractNumId w:val="0"/>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C42"/>
    <w:rsid w:val="0052680B"/>
    <w:rsid w:val="008E4C42"/>
    <w:rsid w:val="00B05F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3AF62-69E7-4ED4-8BAF-5423BB57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0" w:line="227" w:lineRule="auto"/>
      <w:ind w:firstLine="9"/>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0"/>
      <w:ind w:left="-28" w:hanging="10"/>
      <w:outlineLvl w:val="0"/>
    </w:pPr>
    <w:rPr>
      <w:rFonts w:ascii="Times New Roman" w:eastAsia="Times New Roman" w:hAnsi="Times New Roman" w:cs="Times New Roman"/>
      <w:color w:val="000000"/>
      <w:sz w:val="48"/>
    </w:rPr>
  </w:style>
  <w:style w:type="paragraph" w:styleId="Nadpis2">
    <w:name w:val="heading 2"/>
    <w:next w:val="Normln"/>
    <w:link w:val="Nadpis2Char"/>
    <w:uiPriority w:val="9"/>
    <w:unhideWhenUsed/>
    <w:qFormat/>
    <w:pPr>
      <w:keepNext/>
      <w:keepLines/>
      <w:spacing w:after="168"/>
      <w:ind w:left="10" w:hanging="10"/>
      <w:outlineLvl w:val="1"/>
    </w:pPr>
    <w:rPr>
      <w:rFonts w:ascii="Calibri" w:eastAsia="Calibri" w:hAnsi="Calibri" w:cs="Calibri"/>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24"/>
      <w:u w:val="single" w:color="000000"/>
    </w:rPr>
  </w:style>
  <w:style w:type="character" w:customStyle="1" w:styleId="Nadpis1Char">
    <w:name w:val="Nadpis 1 Char"/>
    <w:link w:val="Nadpis1"/>
    <w:rPr>
      <w:rFonts w:ascii="Times New Roman" w:eastAsia="Times New Roman" w:hAnsi="Times New Roman" w:cs="Times New Roman"/>
      <w:color w:val="00000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jpg"/><Relationship Id="rId26" Type="http://schemas.openxmlformats.org/officeDocument/2006/relationships/image" Target="media/image14.jpg"/><Relationship Id="rId39" Type="http://schemas.openxmlformats.org/officeDocument/2006/relationships/image" Target="media/image27.jpg"/><Relationship Id="rId21" Type="http://schemas.openxmlformats.org/officeDocument/2006/relationships/image" Target="media/image9.jpg"/><Relationship Id="rId34" Type="http://schemas.openxmlformats.org/officeDocument/2006/relationships/image" Target="media/image22.jpg"/><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4.jpg"/><Relationship Id="rId29" Type="http://schemas.openxmlformats.org/officeDocument/2006/relationships/image" Target="media/image1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jpg"/><Relationship Id="rId32" Type="http://schemas.openxmlformats.org/officeDocument/2006/relationships/image" Target="media/image20.jpg"/><Relationship Id="rId37" Type="http://schemas.openxmlformats.org/officeDocument/2006/relationships/image" Target="media/image25.jpg"/><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image" Target="media/image11.jpg"/><Relationship Id="rId28" Type="http://schemas.openxmlformats.org/officeDocument/2006/relationships/image" Target="media/image16.jpg"/><Relationship Id="rId36" Type="http://schemas.openxmlformats.org/officeDocument/2006/relationships/image" Target="media/image24.jpg"/><Relationship Id="rId10" Type="http://schemas.openxmlformats.org/officeDocument/2006/relationships/footer" Target="footer1.xml"/><Relationship Id="rId19" Type="http://schemas.openxmlformats.org/officeDocument/2006/relationships/image" Target="media/image7.jpg"/><Relationship Id="rId31" Type="http://schemas.openxmlformats.org/officeDocument/2006/relationships/image" Target="media/image19.jpg"/><Relationship Id="rId44"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image" Target="media/image10.jpg"/><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image" Target="media/image23.jpg"/><Relationship Id="rId43" Type="http://schemas.openxmlformats.org/officeDocument/2006/relationships/footer" Target="footer5.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5.jpg"/><Relationship Id="rId25" Type="http://schemas.openxmlformats.org/officeDocument/2006/relationships/image" Target="media/image13.jpg"/><Relationship Id="rId33" Type="http://schemas.openxmlformats.org/officeDocument/2006/relationships/image" Target="media/image21.jpg"/><Relationship Id="rId38" Type="http://schemas.openxmlformats.org/officeDocument/2006/relationships/image" Target="media/image26.jpg"/><Relationship Id="rId46" Type="http://schemas.openxmlformats.org/officeDocument/2006/relationships/fontTable" Target="fontTable.xml"/><Relationship Id="rId20" Type="http://schemas.openxmlformats.org/officeDocument/2006/relationships/image" Target="media/image8.jpg"/><Relationship Id="rId41" Type="http://schemas.openxmlformats.org/officeDocument/2006/relationships/header" Target="head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3900</Words>
  <Characters>23015</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Grmelová</dc:creator>
  <cp:keywords/>
  <cp:lastModifiedBy>Jana Grmelová</cp:lastModifiedBy>
  <cp:revision>2</cp:revision>
  <dcterms:created xsi:type="dcterms:W3CDTF">2022-12-08T08:51:00Z</dcterms:created>
  <dcterms:modified xsi:type="dcterms:W3CDTF">2022-12-08T08:51:00Z</dcterms:modified>
</cp:coreProperties>
</file>