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3687" w:rsidRDefault="00DE1D84">
      <w:pPr>
        <w:spacing w:after="90" w:line="259" w:lineRule="auto"/>
        <w:ind w:left="0" w:right="115" w:firstLine="0"/>
        <w:jc w:val="center"/>
      </w:pPr>
      <w:r>
        <w:rPr>
          <w:sz w:val="16"/>
        </w:rPr>
        <w:t>ID nabídky 0000342179</w:t>
      </w:r>
    </w:p>
    <w:p w:rsidR="009B3687" w:rsidRDefault="00DE1D84">
      <w:pPr>
        <w:spacing w:after="0" w:line="259" w:lineRule="auto"/>
        <w:ind w:left="86" w:right="115" w:firstLine="0"/>
      </w:pPr>
      <w:r>
        <w:rPr>
          <w:noProof/>
        </w:rPr>
        <w:drawing>
          <wp:anchor distT="0" distB="0" distL="114300" distR="114300" simplePos="0" relativeHeight="251658240" behindDoc="0" locked="0" layoutInCell="1" allowOverlap="0">
            <wp:simplePos x="0" y="0"/>
            <wp:positionH relativeFrom="column">
              <wp:posOffset>6041136</wp:posOffset>
            </wp:positionH>
            <wp:positionV relativeFrom="paragraph">
              <wp:posOffset>-32798</wp:posOffset>
            </wp:positionV>
            <wp:extent cx="539496" cy="542699"/>
            <wp:effectExtent l="0" t="0" r="0" b="0"/>
            <wp:wrapSquare wrapText="bothSides"/>
            <wp:docPr id="3987" name="Picture 3987"/>
            <wp:cNvGraphicFramePr/>
            <a:graphic xmlns:a="http://schemas.openxmlformats.org/drawingml/2006/main">
              <a:graphicData uri="http://schemas.openxmlformats.org/drawingml/2006/picture">
                <pic:pic xmlns:pic="http://schemas.openxmlformats.org/drawingml/2006/picture">
                  <pic:nvPicPr>
                    <pic:cNvPr id="3987" name="Picture 3987"/>
                    <pic:cNvPicPr/>
                  </pic:nvPicPr>
                  <pic:blipFill>
                    <a:blip r:embed="rId4"/>
                    <a:stretch>
                      <a:fillRect/>
                    </a:stretch>
                  </pic:blipFill>
                  <pic:spPr>
                    <a:xfrm>
                      <a:off x="0" y="0"/>
                      <a:ext cx="539496" cy="542699"/>
                    </a:xfrm>
                    <a:prstGeom prst="rect">
                      <a:avLst/>
                    </a:prstGeom>
                  </pic:spPr>
                </pic:pic>
              </a:graphicData>
            </a:graphic>
          </wp:anchor>
        </w:drawing>
      </w:r>
      <w:r>
        <w:rPr>
          <w:sz w:val="28"/>
        </w:rPr>
        <w:t>Dodatek č.: 1-284765487084 0</w:t>
      </w:r>
    </w:p>
    <w:p w:rsidR="009B3687" w:rsidRDefault="00DE1D84">
      <w:pPr>
        <w:tabs>
          <w:tab w:val="center" w:pos="3007"/>
        </w:tabs>
        <w:spacing w:after="660" w:line="259" w:lineRule="auto"/>
        <w:ind w:left="0" w:firstLine="0"/>
      </w:pPr>
      <w:r>
        <w:rPr>
          <w:sz w:val="30"/>
        </w:rPr>
        <w:t xml:space="preserve">ke Smlouvě </w:t>
      </w:r>
      <w:r>
        <w:rPr>
          <w:sz w:val="30"/>
        </w:rPr>
        <w:tab/>
        <w:t>I-275868916&amp;63 0</w:t>
      </w:r>
    </w:p>
    <w:p w:rsidR="009B3687" w:rsidRDefault="00DE1D84">
      <w:pPr>
        <w:ind w:left="23" w:right="883"/>
      </w:pPr>
      <w:r>
        <w:t>(dále jen „Dodatek”) uzavřený mezi</w:t>
      </w:r>
    </w:p>
    <w:tbl>
      <w:tblPr>
        <w:tblStyle w:val="TableGrid"/>
        <w:tblW w:w="9341" w:type="dxa"/>
        <w:tblInd w:w="149" w:type="dxa"/>
        <w:tblCellMar>
          <w:top w:w="4" w:type="dxa"/>
          <w:left w:w="0" w:type="dxa"/>
          <w:bottom w:w="0" w:type="dxa"/>
          <w:right w:w="0" w:type="dxa"/>
        </w:tblCellMar>
        <w:tblLook w:val="04A0" w:firstRow="1" w:lastRow="0" w:firstColumn="1" w:lastColumn="0" w:noHBand="0" w:noVBand="1"/>
      </w:tblPr>
      <w:tblGrid>
        <w:gridCol w:w="2127"/>
        <w:gridCol w:w="3331"/>
        <w:gridCol w:w="3883"/>
      </w:tblGrid>
      <w:tr w:rsidR="009B3687">
        <w:trPr>
          <w:trHeight w:val="471"/>
        </w:trPr>
        <w:tc>
          <w:tcPr>
            <w:tcW w:w="2126" w:type="dxa"/>
            <w:tcBorders>
              <w:top w:val="nil"/>
              <w:left w:val="nil"/>
              <w:bottom w:val="nil"/>
              <w:right w:val="nil"/>
            </w:tcBorders>
          </w:tcPr>
          <w:p w:rsidR="009B3687" w:rsidRDefault="009B3687">
            <w:pPr>
              <w:spacing w:after="160" w:line="259" w:lineRule="auto"/>
              <w:ind w:left="0" w:firstLine="0"/>
            </w:pPr>
          </w:p>
        </w:tc>
        <w:tc>
          <w:tcPr>
            <w:tcW w:w="3331" w:type="dxa"/>
            <w:tcBorders>
              <w:top w:val="nil"/>
              <w:left w:val="nil"/>
              <w:bottom w:val="nil"/>
              <w:right w:val="nil"/>
            </w:tcBorders>
          </w:tcPr>
          <w:p w:rsidR="009B3687" w:rsidRDefault="00DE1D84">
            <w:pPr>
              <w:spacing w:after="0" w:line="259" w:lineRule="auto"/>
              <w:ind w:left="10" w:firstLine="0"/>
            </w:pPr>
            <w:r>
              <w:t>Vodafone Czech Republic a.s.</w:t>
            </w:r>
          </w:p>
        </w:tc>
        <w:tc>
          <w:tcPr>
            <w:tcW w:w="3883" w:type="dxa"/>
            <w:tcBorders>
              <w:top w:val="nil"/>
              <w:left w:val="nil"/>
              <w:bottom w:val="nil"/>
              <w:right w:val="nil"/>
            </w:tcBorders>
          </w:tcPr>
          <w:p w:rsidR="009B3687" w:rsidRDefault="00DE1D84">
            <w:pPr>
              <w:spacing w:after="0" w:line="259" w:lineRule="auto"/>
              <w:ind w:left="0" w:firstLine="115"/>
            </w:pPr>
            <w:r>
              <w:t>Česká lesnická akademie Trutnov střední škola a vyšší odborná škola</w:t>
            </w:r>
          </w:p>
        </w:tc>
      </w:tr>
      <w:tr w:rsidR="009B3687">
        <w:trPr>
          <w:trHeight w:val="278"/>
        </w:trPr>
        <w:tc>
          <w:tcPr>
            <w:tcW w:w="2126" w:type="dxa"/>
            <w:tcBorders>
              <w:top w:val="nil"/>
              <w:left w:val="nil"/>
              <w:bottom w:val="nil"/>
              <w:right w:val="nil"/>
            </w:tcBorders>
          </w:tcPr>
          <w:p w:rsidR="009B3687" w:rsidRDefault="00DE1D84">
            <w:pPr>
              <w:spacing w:after="0" w:line="259" w:lineRule="auto"/>
              <w:ind w:left="19" w:firstLine="0"/>
            </w:pPr>
            <w:r>
              <w:t>Sídlo</w:t>
            </w:r>
          </w:p>
        </w:tc>
        <w:tc>
          <w:tcPr>
            <w:tcW w:w="3331" w:type="dxa"/>
            <w:tcBorders>
              <w:top w:val="nil"/>
              <w:left w:val="nil"/>
              <w:bottom w:val="nil"/>
              <w:right w:val="nil"/>
            </w:tcBorders>
          </w:tcPr>
          <w:p w:rsidR="009B3687" w:rsidRDefault="00DE1D84">
            <w:pPr>
              <w:spacing w:after="0" w:line="259" w:lineRule="auto"/>
              <w:ind w:left="19" w:firstLine="0"/>
            </w:pPr>
            <w:r>
              <w:rPr>
                <w:sz w:val="16"/>
              </w:rPr>
              <w:t>náměstí Junkových 2</w:t>
            </w:r>
          </w:p>
        </w:tc>
        <w:tc>
          <w:tcPr>
            <w:tcW w:w="3883" w:type="dxa"/>
            <w:tcBorders>
              <w:top w:val="nil"/>
              <w:left w:val="nil"/>
              <w:bottom w:val="nil"/>
              <w:right w:val="nil"/>
            </w:tcBorders>
          </w:tcPr>
          <w:p w:rsidR="009B3687" w:rsidRDefault="00DE1D84">
            <w:pPr>
              <w:spacing w:after="0" w:line="259" w:lineRule="auto"/>
              <w:ind w:left="120" w:firstLine="0"/>
            </w:pPr>
            <w:r>
              <w:t>Lesnická 9</w:t>
            </w:r>
          </w:p>
        </w:tc>
      </w:tr>
      <w:tr w:rsidR="009B3687">
        <w:trPr>
          <w:trHeight w:val="234"/>
        </w:trPr>
        <w:tc>
          <w:tcPr>
            <w:tcW w:w="2126" w:type="dxa"/>
            <w:tcBorders>
              <w:top w:val="nil"/>
              <w:left w:val="nil"/>
              <w:bottom w:val="nil"/>
              <w:right w:val="nil"/>
            </w:tcBorders>
          </w:tcPr>
          <w:p w:rsidR="009B3687" w:rsidRDefault="009B3687">
            <w:pPr>
              <w:spacing w:after="160" w:line="259" w:lineRule="auto"/>
              <w:ind w:left="0" w:firstLine="0"/>
            </w:pPr>
          </w:p>
        </w:tc>
        <w:tc>
          <w:tcPr>
            <w:tcW w:w="3331" w:type="dxa"/>
            <w:tcBorders>
              <w:top w:val="nil"/>
              <w:left w:val="nil"/>
              <w:bottom w:val="nil"/>
              <w:right w:val="nil"/>
            </w:tcBorders>
          </w:tcPr>
          <w:p w:rsidR="009B3687" w:rsidRDefault="00DE1D84">
            <w:pPr>
              <w:spacing w:after="0" w:line="259" w:lineRule="auto"/>
              <w:ind w:left="19" w:firstLine="0"/>
            </w:pPr>
            <w:r>
              <w:t>155 OO Praha 5</w:t>
            </w:r>
          </w:p>
        </w:tc>
        <w:tc>
          <w:tcPr>
            <w:tcW w:w="3883" w:type="dxa"/>
            <w:tcBorders>
              <w:top w:val="nil"/>
              <w:left w:val="nil"/>
              <w:bottom w:val="nil"/>
              <w:right w:val="nil"/>
            </w:tcBorders>
          </w:tcPr>
          <w:p w:rsidR="009B3687" w:rsidRDefault="00DE1D84">
            <w:pPr>
              <w:spacing w:after="0" w:line="259" w:lineRule="auto"/>
              <w:ind w:left="106" w:firstLine="0"/>
            </w:pPr>
            <w:r>
              <w:rPr>
                <w:sz w:val="16"/>
              </w:rPr>
              <w:t xml:space="preserve">54101 </w:t>
            </w:r>
            <w:proofErr w:type="gramStart"/>
            <w:r>
              <w:rPr>
                <w:sz w:val="16"/>
              </w:rPr>
              <w:t>Trutnov - Horní</w:t>
            </w:r>
            <w:proofErr w:type="gramEnd"/>
            <w:r>
              <w:rPr>
                <w:sz w:val="16"/>
              </w:rPr>
              <w:t xml:space="preserve"> Předměstí</w:t>
            </w:r>
          </w:p>
        </w:tc>
      </w:tr>
      <w:tr w:rsidR="009B3687">
        <w:trPr>
          <w:trHeight w:val="257"/>
        </w:trPr>
        <w:tc>
          <w:tcPr>
            <w:tcW w:w="2126" w:type="dxa"/>
            <w:tcBorders>
              <w:top w:val="nil"/>
              <w:left w:val="nil"/>
              <w:bottom w:val="nil"/>
              <w:right w:val="nil"/>
            </w:tcBorders>
          </w:tcPr>
          <w:p w:rsidR="009B3687" w:rsidRDefault="009B3687">
            <w:pPr>
              <w:spacing w:after="160" w:line="259" w:lineRule="auto"/>
              <w:ind w:left="0" w:firstLine="0"/>
            </w:pPr>
          </w:p>
        </w:tc>
        <w:tc>
          <w:tcPr>
            <w:tcW w:w="3331" w:type="dxa"/>
            <w:tcBorders>
              <w:top w:val="nil"/>
              <w:left w:val="nil"/>
              <w:bottom w:val="nil"/>
              <w:right w:val="nil"/>
            </w:tcBorders>
          </w:tcPr>
          <w:p w:rsidR="009B3687" w:rsidRDefault="00DE1D84">
            <w:pPr>
              <w:spacing w:after="0" w:line="259" w:lineRule="auto"/>
              <w:ind w:left="10" w:firstLine="0"/>
            </w:pPr>
            <w:r>
              <w:rPr>
                <w:rFonts w:ascii="Calibri" w:eastAsia="Calibri" w:hAnsi="Calibri" w:cs="Calibri"/>
                <w:sz w:val="16"/>
              </w:rPr>
              <w:t>25788001</w:t>
            </w:r>
          </w:p>
        </w:tc>
        <w:tc>
          <w:tcPr>
            <w:tcW w:w="3883" w:type="dxa"/>
            <w:tcBorders>
              <w:top w:val="nil"/>
              <w:left w:val="nil"/>
              <w:bottom w:val="nil"/>
              <w:right w:val="nil"/>
            </w:tcBorders>
          </w:tcPr>
          <w:p w:rsidR="009B3687" w:rsidRDefault="00DE1D84">
            <w:pPr>
              <w:spacing w:after="0" w:line="259" w:lineRule="auto"/>
              <w:ind w:left="106" w:firstLine="0"/>
            </w:pPr>
            <w:r>
              <w:rPr>
                <w:rFonts w:ascii="Calibri" w:eastAsia="Calibri" w:hAnsi="Calibri" w:cs="Calibri"/>
                <w:sz w:val="16"/>
              </w:rPr>
              <w:t>60153296</w:t>
            </w:r>
          </w:p>
        </w:tc>
      </w:tr>
      <w:tr w:rsidR="009B3687">
        <w:trPr>
          <w:trHeight w:val="232"/>
        </w:trPr>
        <w:tc>
          <w:tcPr>
            <w:tcW w:w="2126" w:type="dxa"/>
            <w:tcBorders>
              <w:top w:val="nil"/>
              <w:left w:val="nil"/>
              <w:bottom w:val="nil"/>
              <w:right w:val="nil"/>
            </w:tcBorders>
          </w:tcPr>
          <w:p w:rsidR="009B3687" w:rsidRDefault="00DE1D84">
            <w:pPr>
              <w:spacing w:after="0" w:line="259" w:lineRule="auto"/>
              <w:ind w:left="19" w:firstLine="0"/>
            </w:pPr>
            <w:proofErr w:type="spellStart"/>
            <w:r>
              <w:rPr>
                <w:sz w:val="20"/>
              </w:rPr>
              <w:t>Dič</w:t>
            </w:r>
            <w:proofErr w:type="spellEnd"/>
          </w:p>
        </w:tc>
        <w:tc>
          <w:tcPr>
            <w:tcW w:w="3331" w:type="dxa"/>
            <w:tcBorders>
              <w:top w:val="nil"/>
              <w:left w:val="nil"/>
              <w:bottom w:val="nil"/>
              <w:right w:val="nil"/>
            </w:tcBorders>
          </w:tcPr>
          <w:p w:rsidR="009B3687" w:rsidRDefault="00DE1D84">
            <w:pPr>
              <w:spacing w:after="0" w:line="259" w:lineRule="auto"/>
              <w:ind w:left="14" w:firstLine="0"/>
            </w:pPr>
            <w:r>
              <w:rPr>
                <w:sz w:val="16"/>
              </w:rPr>
              <w:t>CZ25788001</w:t>
            </w:r>
          </w:p>
        </w:tc>
        <w:tc>
          <w:tcPr>
            <w:tcW w:w="3883" w:type="dxa"/>
            <w:tcBorders>
              <w:top w:val="nil"/>
              <w:left w:val="nil"/>
              <w:bottom w:val="nil"/>
              <w:right w:val="nil"/>
            </w:tcBorders>
          </w:tcPr>
          <w:p w:rsidR="009B3687" w:rsidRDefault="00DE1D84">
            <w:pPr>
              <w:spacing w:after="0" w:line="259" w:lineRule="auto"/>
              <w:ind w:left="110" w:firstLine="0"/>
            </w:pPr>
            <w:r>
              <w:rPr>
                <w:sz w:val="16"/>
              </w:rPr>
              <w:t>CZ60153296</w:t>
            </w:r>
          </w:p>
        </w:tc>
      </w:tr>
      <w:tr w:rsidR="009B3687">
        <w:trPr>
          <w:trHeight w:val="254"/>
        </w:trPr>
        <w:tc>
          <w:tcPr>
            <w:tcW w:w="2126" w:type="dxa"/>
            <w:tcBorders>
              <w:top w:val="nil"/>
              <w:left w:val="nil"/>
              <w:bottom w:val="nil"/>
              <w:right w:val="nil"/>
            </w:tcBorders>
          </w:tcPr>
          <w:p w:rsidR="009B3687" w:rsidRDefault="00DE1D84">
            <w:pPr>
              <w:spacing w:after="0" w:line="259" w:lineRule="auto"/>
              <w:ind w:left="14" w:firstLine="0"/>
            </w:pPr>
            <w:r>
              <w:t xml:space="preserve">Bank. spojení, č. </w:t>
            </w:r>
            <w:proofErr w:type="spellStart"/>
            <w:r>
              <w:t>ú.</w:t>
            </w:r>
            <w:proofErr w:type="spellEnd"/>
          </w:p>
        </w:tc>
        <w:tc>
          <w:tcPr>
            <w:tcW w:w="3331" w:type="dxa"/>
            <w:tcBorders>
              <w:top w:val="nil"/>
              <w:left w:val="nil"/>
              <w:bottom w:val="nil"/>
              <w:right w:val="nil"/>
            </w:tcBorders>
          </w:tcPr>
          <w:p w:rsidR="009B3687" w:rsidRDefault="00DE1D84">
            <w:pPr>
              <w:spacing w:after="0" w:line="259" w:lineRule="auto"/>
              <w:ind w:left="10" w:firstLine="0"/>
            </w:pPr>
            <w:r>
              <w:rPr>
                <w:sz w:val="14"/>
              </w:rPr>
              <w:t xml:space="preserve">ČSOB, </w:t>
            </w:r>
            <w:proofErr w:type="spellStart"/>
            <w:proofErr w:type="gramStart"/>
            <w:r>
              <w:rPr>
                <w:sz w:val="14"/>
              </w:rPr>
              <w:t>č.úi</w:t>
            </w:r>
            <w:proofErr w:type="spellEnd"/>
            <w:proofErr w:type="gramEnd"/>
            <w:r>
              <w:rPr>
                <w:sz w:val="14"/>
              </w:rPr>
              <w:t xml:space="preserve"> 117292/0300</w:t>
            </w:r>
          </w:p>
        </w:tc>
        <w:tc>
          <w:tcPr>
            <w:tcW w:w="3883" w:type="dxa"/>
            <w:tcBorders>
              <w:top w:val="nil"/>
              <w:left w:val="nil"/>
              <w:bottom w:val="nil"/>
              <w:right w:val="nil"/>
            </w:tcBorders>
          </w:tcPr>
          <w:p w:rsidR="009B3687" w:rsidRDefault="009B3687">
            <w:pPr>
              <w:spacing w:after="160" w:line="259" w:lineRule="auto"/>
              <w:ind w:left="0" w:firstLine="0"/>
            </w:pPr>
          </w:p>
        </w:tc>
      </w:tr>
      <w:tr w:rsidR="009B3687">
        <w:trPr>
          <w:trHeight w:val="249"/>
        </w:trPr>
        <w:tc>
          <w:tcPr>
            <w:tcW w:w="2126" w:type="dxa"/>
            <w:tcBorders>
              <w:top w:val="nil"/>
              <w:left w:val="nil"/>
              <w:bottom w:val="nil"/>
              <w:right w:val="nil"/>
            </w:tcBorders>
          </w:tcPr>
          <w:p w:rsidR="009B3687" w:rsidRDefault="00DE1D84">
            <w:pPr>
              <w:spacing w:after="0" w:line="259" w:lineRule="auto"/>
              <w:ind w:left="0" w:firstLine="0"/>
            </w:pPr>
            <w:proofErr w:type="spellStart"/>
            <w:r>
              <w:t>Zaps</w:t>
            </w:r>
            <w:proofErr w:type="spellEnd"/>
            <w:r>
              <w:t xml:space="preserve">. v OR u </w:t>
            </w:r>
            <w:proofErr w:type="spellStart"/>
            <w:r>
              <w:t>rejstř</w:t>
            </w:r>
            <w:proofErr w:type="spellEnd"/>
            <w:r>
              <w:t>. soudu v</w:t>
            </w:r>
          </w:p>
        </w:tc>
        <w:tc>
          <w:tcPr>
            <w:tcW w:w="3331" w:type="dxa"/>
            <w:tcBorders>
              <w:top w:val="nil"/>
              <w:left w:val="nil"/>
              <w:bottom w:val="nil"/>
              <w:right w:val="nil"/>
            </w:tcBorders>
          </w:tcPr>
          <w:p w:rsidR="009B3687" w:rsidRDefault="00DE1D84">
            <w:pPr>
              <w:spacing w:after="0" w:line="259" w:lineRule="auto"/>
              <w:ind w:left="14" w:firstLine="0"/>
            </w:pPr>
            <w:r>
              <w:t>Praze</w:t>
            </w:r>
          </w:p>
        </w:tc>
        <w:tc>
          <w:tcPr>
            <w:tcW w:w="3883" w:type="dxa"/>
            <w:tcBorders>
              <w:top w:val="nil"/>
              <w:left w:val="nil"/>
              <w:bottom w:val="nil"/>
              <w:right w:val="nil"/>
            </w:tcBorders>
          </w:tcPr>
          <w:p w:rsidR="009B3687" w:rsidRDefault="009B3687">
            <w:pPr>
              <w:spacing w:after="160" w:line="259" w:lineRule="auto"/>
              <w:ind w:left="0" w:firstLine="0"/>
            </w:pPr>
          </w:p>
        </w:tc>
      </w:tr>
      <w:tr w:rsidR="009B3687">
        <w:trPr>
          <w:trHeight w:val="246"/>
        </w:trPr>
        <w:tc>
          <w:tcPr>
            <w:tcW w:w="2126" w:type="dxa"/>
            <w:tcBorders>
              <w:top w:val="nil"/>
              <w:left w:val="nil"/>
              <w:bottom w:val="nil"/>
              <w:right w:val="nil"/>
            </w:tcBorders>
          </w:tcPr>
          <w:p w:rsidR="009B3687" w:rsidRDefault="00DE1D84">
            <w:pPr>
              <w:spacing w:after="0" w:line="259" w:lineRule="auto"/>
              <w:ind w:left="10" w:firstLine="0"/>
            </w:pPr>
            <w:r>
              <w:t>oddíl B, vložka</w:t>
            </w:r>
          </w:p>
        </w:tc>
        <w:tc>
          <w:tcPr>
            <w:tcW w:w="3331" w:type="dxa"/>
            <w:tcBorders>
              <w:top w:val="nil"/>
              <w:left w:val="nil"/>
              <w:bottom w:val="nil"/>
              <w:right w:val="nil"/>
            </w:tcBorders>
          </w:tcPr>
          <w:p w:rsidR="009B3687" w:rsidRDefault="00DE1D84">
            <w:pPr>
              <w:spacing w:after="0" w:line="259" w:lineRule="auto"/>
              <w:ind w:left="0" w:firstLine="0"/>
            </w:pPr>
            <w:r>
              <w:rPr>
                <w:rFonts w:ascii="Calibri" w:eastAsia="Calibri" w:hAnsi="Calibri" w:cs="Calibri"/>
                <w:sz w:val="16"/>
              </w:rPr>
              <w:t>6064</w:t>
            </w:r>
          </w:p>
        </w:tc>
        <w:tc>
          <w:tcPr>
            <w:tcW w:w="3883" w:type="dxa"/>
            <w:tcBorders>
              <w:top w:val="nil"/>
              <w:left w:val="nil"/>
              <w:bottom w:val="nil"/>
              <w:right w:val="nil"/>
            </w:tcBorders>
          </w:tcPr>
          <w:p w:rsidR="009B3687" w:rsidRDefault="009B3687">
            <w:pPr>
              <w:spacing w:after="160" w:line="259" w:lineRule="auto"/>
              <w:ind w:left="0" w:firstLine="0"/>
            </w:pPr>
          </w:p>
        </w:tc>
      </w:tr>
      <w:tr w:rsidR="009B3687">
        <w:trPr>
          <w:trHeight w:val="480"/>
        </w:trPr>
        <w:tc>
          <w:tcPr>
            <w:tcW w:w="2126" w:type="dxa"/>
            <w:tcBorders>
              <w:top w:val="nil"/>
              <w:left w:val="nil"/>
              <w:bottom w:val="nil"/>
              <w:right w:val="nil"/>
            </w:tcBorders>
          </w:tcPr>
          <w:p w:rsidR="009B3687" w:rsidRDefault="00DE1D84">
            <w:pPr>
              <w:spacing w:after="0" w:line="259" w:lineRule="auto"/>
              <w:ind w:left="0" w:firstLine="0"/>
            </w:pPr>
            <w:r>
              <w:t>Zastoupen</w:t>
            </w:r>
          </w:p>
        </w:tc>
        <w:tc>
          <w:tcPr>
            <w:tcW w:w="3331" w:type="dxa"/>
            <w:tcBorders>
              <w:top w:val="nil"/>
              <w:left w:val="nil"/>
              <w:bottom w:val="nil"/>
              <w:right w:val="nil"/>
            </w:tcBorders>
          </w:tcPr>
          <w:p w:rsidR="009B3687" w:rsidRDefault="00DE1D84">
            <w:pPr>
              <w:spacing w:after="35" w:line="259" w:lineRule="auto"/>
              <w:ind w:left="10" w:firstLine="0"/>
            </w:pPr>
            <w:r>
              <w:rPr>
                <w:sz w:val="16"/>
              </w:rPr>
              <w:t>Martin Horčička</w:t>
            </w:r>
          </w:p>
          <w:p w:rsidR="009B3687" w:rsidRDefault="00DE1D84">
            <w:pPr>
              <w:spacing w:after="0" w:line="259" w:lineRule="auto"/>
              <w:ind w:left="5" w:firstLine="0"/>
            </w:pPr>
            <w:r>
              <w:rPr>
                <w:sz w:val="16"/>
              </w:rPr>
              <w:t xml:space="preserve">Sales </w:t>
            </w:r>
            <w:proofErr w:type="spellStart"/>
            <w:r>
              <w:rPr>
                <w:sz w:val="16"/>
              </w:rPr>
              <w:t>representative</w:t>
            </w:r>
            <w:proofErr w:type="spellEnd"/>
          </w:p>
        </w:tc>
        <w:tc>
          <w:tcPr>
            <w:tcW w:w="3883" w:type="dxa"/>
            <w:tcBorders>
              <w:top w:val="nil"/>
              <w:left w:val="nil"/>
              <w:bottom w:val="nil"/>
              <w:right w:val="nil"/>
            </w:tcBorders>
          </w:tcPr>
          <w:p w:rsidR="009B3687" w:rsidRDefault="00DE1D84">
            <w:pPr>
              <w:spacing w:after="0" w:line="259" w:lineRule="auto"/>
              <w:ind w:left="110" w:firstLine="0"/>
            </w:pPr>
            <w:r>
              <w:rPr>
                <w:sz w:val="16"/>
              </w:rPr>
              <w:t>Ing. Miloš Pochobradský</w:t>
            </w:r>
          </w:p>
        </w:tc>
      </w:tr>
      <w:tr w:rsidR="009B3687">
        <w:trPr>
          <w:trHeight w:val="470"/>
        </w:trPr>
        <w:tc>
          <w:tcPr>
            <w:tcW w:w="2126" w:type="dxa"/>
            <w:tcBorders>
              <w:top w:val="nil"/>
              <w:left w:val="nil"/>
              <w:bottom w:val="nil"/>
              <w:right w:val="nil"/>
            </w:tcBorders>
          </w:tcPr>
          <w:p w:rsidR="009B3687" w:rsidRDefault="009B3687">
            <w:pPr>
              <w:spacing w:after="160" w:line="259" w:lineRule="auto"/>
              <w:ind w:left="0" w:firstLine="0"/>
            </w:pPr>
          </w:p>
        </w:tc>
        <w:tc>
          <w:tcPr>
            <w:tcW w:w="3331" w:type="dxa"/>
            <w:tcBorders>
              <w:top w:val="nil"/>
              <w:left w:val="nil"/>
              <w:bottom w:val="nil"/>
              <w:right w:val="nil"/>
            </w:tcBorders>
          </w:tcPr>
          <w:p w:rsidR="009B3687" w:rsidRDefault="00DE1D84">
            <w:pPr>
              <w:spacing w:after="0" w:line="259" w:lineRule="auto"/>
              <w:ind w:left="5" w:firstLine="0"/>
            </w:pPr>
            <w:r>
              <w:rPr>
                <w:rFonts w:ascii="Calibri" w:eastAsia="Calibri" w:hAnsi="Calibri" w:cs="Calibri"/>
                <w:sz w:val="16"/>
              </w:rPr>
              <w:t>martin.horcicka@vodafone.com</w:t>
            </w:r>
          </w:p>
        </w:tc>
        <w:tc>
          <w:tcPr>
            <w:tcW w:w="3883" w:type="dxa"/>
            <w:tcBorders>
              <w:top w:val="nil"/>
              <w:left w:val="nil"/>
              <w:bottom w:val="nil"/>
              <w:right w:val="nil"/>
            </w:tcBorders>
          </w:tcPr>
          <w:p w:rsidR="009B3687" w:rsidRDefault="00DE1D84">
            <w:pPr>
              <w:spacing w:after="0" w:line="259" w:lineRule="auto"/>
              <w:ind w:left="106" w:firstLine="0"/>
            </w:pPr>
            <w:r>
              <w:rPr>
                <w:rFonts w:ascii="Calibri" w:eastAsia="Calibri" w:hAnsi="Calibri" w:cs="Calibri"/>
                <w:sz w:val="16"/>
              </w:rPr>
              <w:t>pochobradsky@clatrutnov.cz</w:t>
            </w:r>
          </w:p>
        </w:tc>
      </w:tr>
      <w:tr w:rsidR="009B3687">
        <w:trPr>
          <w:trHeight w:val="431"/>
        </w:trPr>
        <w:tc>
          <w:tcPr>
            <w:tcW w:w="2126" w:type="dxa"/>
            <w:tcBorders>
              <w:top w:val="nil"/>
              <w:left w:val="nil"/>
              <w:bottom w:val="nil"/>
              <w:right w:val="nil"/>
            </w:tcBorders>
          </w:tcPr>
          <w:p w:rsidR="009B3687" w:rsidRDefault="009B3687">
            <w:pPr>
              <w:spacing w:after="160" w:line="259" w:lineRule="auto"/>
              <w:ind w:left="0" w:firstLine="0"/>
            </w:pPr>
          </w:p>
        </w:tc>
        <w:tc>
          <w:tcPr>
            <w:tcW w:w="3331" w:type="dxa"/>
            <w:tcBorders>
              <w:top w:val="nil"/>
              <w:left w:val="nil"/>
              <w:bottom w:val="nil"/>
              <w:right w:val="nil"/>
            </w:tcBorders>
            <w:vAlign w:val="bottom"/>
          </w:tcPr>
          <w:p w:rsidR="009B3687" w:rsidRDefault="00DE1D84">
            <w:pPr>
              <w:spacing w:after="0" w:line="259" w:lineRule="auto"/>
              <w:ind w:left="0" w:firstLine="0"/>
            </w:pPr>
            <w:r>
              <w:rPr>
                <w:sz w:val="16"/>
              </w:rPr>
              <w:t>&gt; (dále jen „Vodafone”)</w:t>
            </w:r>
          </w:p>
        </w:tc>
        <w:tc>
          <w:tcPr>
            <w:tcW w:w="3883" w:type="dxa"/>
            <w:tcBorders>
              <w:top w:val="nil"/>
              <w:left w:val="nil"/>
              <w:bottom w:val="nil"/>
              <w:right w:val="nil"/>
            </w:tcBorders>
            <w:vAlign w:val="bottom"/>
          </w:tcPr>
          <w:p w:rsidR="009B3687" w:rsidRDefault="00DE1D84">
            <w:pPr>
              <w:spacing w:after="0" w:line="259" w:lineRule="auto"/>
              <w:ind w:left="96" w:firstLine="0"/>
            </w:pPr>
            <w:r>
              <w:rPr>
                <w:sz w:val="16"/>
              </w:rPr>
              <w:t>&gt; (dále jen „Zákazník")</w:t>
            </w:r>
          </w:p>
        </w:tc>
      </w:tr>
    </w:tbl>
    <w:p w:rsidR="009B3687" w:rsidRDefault="00DE1D84">
      <w:pPr>
        <w:spacing w:after="365" w:line="265" w:lineRule="auto"/>
        <w:ind w:left="33" w:hanging="10"/>
      </w:pPr>
      <w:r>
        <w:rPr>
          <w:sz w:val="16"/>
        </w:rPr>
        <w:t>&gt; (dále společně „smluvní strany)</w:t>
      </w:r>
    </w:p>
    <w:p w:rsidR="009B3687" w:rsidRDefault="00DE1D84">
      <w:pPr>
        <w:spacing w:after="374"/>
        <w:ind w:left="23" w:right="883"/>
      </w:pPr>
      <w:r>
        <w:t xml:space="preserve">Smluvní strany uzavřely Rámcovou smlouvu o poskytování zvýhodněných podmínek č. 1-275868916663_0 (dále jen „Smlouva </w:t>
      </w:r>
      <w:r>
        <w:rPr>
          <w:vertAlign w:val="superscript"/>
        </w:rPr>
        <w:t>f</w:t>
      </w:r>
      <w:r>
        <w:t>'). Zákazník a Vodafone se dohodli na uzavření Dodatku ke Smlouvě v tomto znění:</w:t>
      </w:r>
    </w:p>
    <w:p w:rsidR="009B3687" w:rsidRDefault="00DE1D84">
      <w:pPr>
        <w:spacing w:after="430"/>
        <w:ind w:left="23" w:right="883"/>
      </w:pPr>
      <w:r>
        <w:t xml:space="preserve">Ustanovení čl. 2 a 3 Smlouvy se v plném rozsahu nahrazují </w:t>
      </w:r>
      <w:r>
        <w:t>a zní:</w:t>
      </w:r>
    </w:p>
    <w:p w:rsidR="009B3687" w:rsidRDefault="00DE1D84">
      <w:pPr>
        <w:tabs>
          <w:tab w:val="center" w:pos="1872"/>
        </w:tabs>
        <w:spacing w:after="14" w:line="265" w:lineRule="auto"/>
        <w:ind w:left="0" w:firstLine="0"/>
      </w:pPr>
      <w:r>
        <w:rPr>
          <w:rFonts w:ascii="Calibri" w:eastAsia="Calibri" w:hAnsi="Calibri" w:cs="Calibri"/>
          <w:sz w:val="20"/>
        </w:rPr>
        <w:t>2</w:t>
      </w:r>
      <w:r>
        <w:rPr>
          <w:rFonts w:ascii="Calibri" w:eastAsia="Calibri" w:hAnsi="Calibri" w:cs="Calibri"/>
          <w:sz w:val="20"/>
        </w:rPr>
        <w:tab/>
      </w:r>
      <w:r>
        <w:rPr>
          <w:sz w:val="20"/>
        </w:rPr>
        <w:t>Práva a závazky smluvních stran</w:t>
      </w:r>
    </w:p>
    <w:p w:rsidR="009B3687" w:rsidRDefault="00DE1D84">
      <w:pPr>
        <w:spacing w:after="86"/>
        <w:ind w:left="575" w:right="883" w:hanging="552"/>
      </w:pPr>
      <w:r>
        <w:rPr>
          <w:rFonts w:ascii="Calibri" w:eastAsia="Calibri" w:hAnsi="Calibri" w:cs="Calibri"/>
        </w:rPr>
        <w:t xml:space="preserve">21 </w:t>
      </w:r>
      <w:r>
        <w:t xml:space="preserve">Vodafone je oprávněn stanovit Zákazníkovi Volací limit pro čerpání Služeb </w:t>
      </w:r>
      <w:proofErr w:type="spellStart"/>
      <w:r>
        <w:t>Vodafonu</w:t>
      </w:r>
      <w:proofErr w:type="spellEnd"/>
      <w:r>
        <w:t xml:space="preserve"> v každém zúčtovacím období, a to jednotlivě pro každou SIM kartu zařazenou pod právní režim této Smlouvy.</w:t>
      </w:r>
    </w:p>
    <w:p w:rsidR="009B3687" w:rsidRDefault="00DE1D84">
      <w:pPr>
        <w:spacing w:after="0"/>
        <w:ind w:left="599" w:right="883" w:hanging="576"/>
      </w:pPr>
      <w:r>
        <w:rPr>
          <w:rFonts w:ascii="Calibri" w:eastAsia="Calibri" w:hAnsi="Calibri" w:cs="Calibri"/>
        </w:rPr>
        <w:t xml:space="preserve">2.2 </w:t>
      </w:r>
      <w:r>
        <w:t>Zákazník se zavazuje, že po dobu trvání Smlouvy neklesne rozsah užívaných Služeb pod minimální měsíční částku ve výši 12500 Kč. Minimální měsíční částka se rovná celkové částce za poskytnuté Služby (bez DPH) v jednom zúčtovacím období</w:t>
      </w:r>
    </w:p>
    <w:p w:rsidR="009B3687" w:rsidRDefault="00DE1D84">
      <w:pPr>
        <w:ind w:left="586" w:right="883"/>
      </w:pPr>
      <w:r>
        <w:t>(měsíci) po uplatnění</w:t>
      </w:r>
      <w:r>
        <w:t xml:space="preserve"> veškerých slev a zvýhodnění (bonusů) poskytnutých Zákazníkovi a zobrazených ve vyúčtování Služeb, nikoliv však částka odpovídající platbám Zákazníka za zboží a služby třetích stran (např. </w:t>
      </w:r>
      <w:proofErr w:type="spellStart"/>
      <w:r>
        <w:t>Audiotext</w:t>
      </w:r>
      <w:proofErr w:type="spellEnd"/>
      <w:r>
        <w:t xml:space="preserve"> M-Platby, prémiové SMS) či poplatkům spojeným s pozdní úh</w:t>
      </w:r>
      <w:r>
        <w:t xml:space="preserve">radou Vyúčtování. Pokud za srovnávací období (které tvoří vždy tři po sobě jdoucí zúčtovací období počínaje prvním celým zúčtovacím obdobím) klesne celková částka vyúčtovaná za Služby (bez DPH) pod částku odpovídající trojnásobku minimální měsíční částky, </w:t>
      </w:r>
      <w:r>
        <w:t xml:space="preserve">a to počínaje prvním úplným zúčtovacím obdobím stanoveným </w:t>
      </w:r>
      <w:proofErr w:type="spellStart"/>
      <w:r>
        <w:t>Vodafonem</w:t>
      </w:r>
      <w:proofErr w:type="spellEnd"/>
      <w:r>
        <w:t xml:space="preserve">, zavazuje se Zákazník uhradit </w:t>
      </w:r>
      <w:proofErr w:type="spellStart"/>
      <w:r>
        <w:t>Vodafonu</w:t>
      </w:r>
      <w:proofErr w:type="spellEnd"/>
      <w:r>
        <w:t xml:space="preserve"> doúčtování závazku minimální měsíční částky ve výši rozdílu mezi těmito částkami. Takto vypočítaná částka doúčtování závazku minimální měsíční částky</w:t>
      </w:r>
      <w:r>
        <w:t xml:space="preserve"> podléhá DPH, která bude uplatněna a připočtena ve výši dle platných právních předpisů. V případě, že srovnávací období bude kratší než 3 celá zúčtovací období (poslední srovnávací období před ukončením Smlouvy), je srovnávacím obdobím vždy jedno zúčtovací</w:t>
      </w:r>
      <w:r>
        <w:t xml:space="preserve"> období (pro účely splnění závazku a případné stanovení výše doúčtování závazku minimální měsíční částky bude posuzována jedna minimální měsíční částka).</w:t>
      </w:r>
    </w:p>
    <w:p w:rsidR="009B3687" w:rsidRDefault="00DE1D84">
      <w:pPr>
        <w:ind w:left="589" w:right="883" w:hanging="566"/>
      </w:pPr>
      <w:r>
        <w:rPr>
          <w:rFonts w:ascii="Calibri" w:eastAsia="Calibri" w:hAnsi="Calibri" w:cs="Calibri"/>
        </w:rPr>
        <w:t>2.3</w:t>
      </w:r>
      <w:r>
        <w:rPr>
          <w:rFonts w:ascii="Calibri" w:eastAsia="Calibri" w:hAnsi="Calibri" w:cs="Calibri"/>
        </w:rPr>
        <w:tab/>
      </w:r>
      <w:r>
        <w:t>V případě, že Zákazník poruší své povinnosti vyplývající z této Smlouvy podstatným způsobem (poruš</w:t>
      </w:r>
      <w:r>
        <w:t xml:space="preserve">ení čl. 8.2 Všeobecných podmínek nebo čl. 8,3 Obchodních podmínek, je Vodafone bez ohledu na to, zda využije své právo na odstoupení od Smlouvy, oprávněn požadovat a Zákazník povinen uhradit </w:t>
      </w:r>
      <w:proofErr w:type="spellStart"/>
      <w:r>
        <w:t>Vodafonu</w:t>
      </w:r>
      <w:proofErr w:type="spellEnd"/>
      <w:r>
        <w:t xml:space="preserve"> smluvní pokutu ve výši součinu minimální měsíční částky </w:t>
      </w:r>
      <w:r>
        <w:t>a počtu pravidelných zúčtovacích období zbývajících do konce sjednané doby trvání Smlouvy, a to počínaje zúčtovacím obdobím, v jehož průběhu Vodafone vyzval Zákazníka k uhrazení smluvní pokuty. Pokud Zákazník ukončí v průběhu trvání této Smlouvy podnikatel</w:t>
      </w:r>
      <w:r>
        <w:t xml:space="preserve">skou činnost a dojde tak k předčasnému ukončení této Smlouvy, zavazuje se Zákazník vrátit </w:t>
      </w:r>
      <w:proofErr w:type="spellStart"/>
      <w:r>
        <w:t>Vodafonu</w:t>
      </w:r>
      <w:proofErr w:type="spellEnd"/>
      <w:r>
        <w:t xml:space="preserve"> veškerá zvýhodnění, která na základě této Smlouvy od </w:t>
      </w:r>
      <w:proofErr w:type="spellStart"/>
      <w:r>
        <w:t>Vodafonu</w:t>
      </w:r>
      <w:proofErr w:type="spellEnd"/>
      <w:r>
        <w:t xml:space="preserve"> obdržel.</w:t>
      </w:r>
    </w:p>
    <w:p w:rsidR="009B3687" w:rsidRDefault="00DE1D84">
      <w:pPr>
        <w:spacing w:after="570"/>
        <w:ind w:left="594" w:right="883" w:hanging="571"/>
      </w:pPr>
      <w:r>
        <w:rPr>
          <w:rFonts w:ascii="Calibri" w:eastAsia="Calibri" w:hAnsi="Calibri" w:cs="Calibri"/>
        </w:rPr>
        <w:t xml:space="preserve">2.4 </w:t>
      </w:r>
      <w:r>
        <w:t xml:space="preserve">Zaplacení smluvní pokuty ani vrácení zvýhodnění nemá vliv na nárok </w:t>
      </w:r>
      <w:proofErr w:type="spellStart"/>
      <w:r>
        <w:t>Vodafonu</w:t>
      </w:r>
      <w:proofErr w:type="spellEnd"/>
      <w:r>
        <w:t xml:space="preserve"> na náh</w:t>
      </w:r>
      <w:r>
        <w:t xml:space="preserve">radu vzniklé škody v celém rozsahu. Smluvní pokuty jsou splatné ve lhůtě uvedené ve vyúčtování smluvní pokuty vystaveném </w:t>
      </w:r>
      <w:proofErr w:type="spellStart"/>
      <w:r>
        <w:t>Vodafonem</w:t>
      </w:r>
      <w:proofErr w:type="spellEnd"/>
      <w:r>
        <w:t>.</w:t>
      </w:r>
    </w:p>
    <w:p w:rsidR="009B3687" w:rsidRDefault="00DE1D84">
      <w:pPr>
        <w:spacing w:after="197" w:line="259" w:lineRule="auto"/>
        <w:ind w:left="0" w:right="854" w:firstLine="0"/>
        <w:jc w:val="right"/>
      </w:pPr>
      <w:r>
        <w:rPr>
          <w:rFonts w:ascii="Calibri" w:eastAsia="Calibri" w:hAnsi="Calibri" w:cs="Calibri"/>
          <w:sz w:val="16"/>
        </w:rPr>
        <w:lastRenderedPageBreak/>
        <w:t>1/3</w:t>
      </w:r>
    </w:p>
    <w:tbl>
      <w:tblPr>
        <w:tblStyle w:val="TableGrid"/>
        <w:tblpPr w:vertAnchor="text" w:tblpX="-475" w:tblpY="33"/>
        <w:tblOverlap w:val="never"/>
        <w:tblW w:w="687" w:type="dxa"/>
        <w:tblInd w:w="0" w:type="dxa"/>
        <w:tblCellMar>
          <w:top w:w="0" w:type="dxa"/>
          <w:left w:w="0" w:type="dxa"/>
          <w:bottom w:w="0" w:type="dxa"/>
          <w:right w:w="40" w:type="dxa"/>
        </w:tblCellMar>
        <w:tblLook w:val="04A0" w:firstRow="1" w:lastRow="0" w:firstColumn="1" w:lastColumn="0" w:noHBand="0" w:noVBand="1"/>
      </w:tblPr>
      <w:tblGrid>
        <w:gridCol w:w="367"/>
        <w:gridCol w:w="320"/>
      </w:tblGrid>
      <w:tr w:rsidR="009B3687">
        <w:trPr>
          <w:trHeight w:val="985"/>
        </w:trPr>
        <w:tc>
          <w:tcPr>
            <w:tcW w:w="522" w:type="dxa"/>
            <w:tcBorders>
              <w:top w:val="nil"/>
              <w:left w:val="nil"/>
              <w:bottom w:val="single" w:sz="2" w:space="0" w:color="000000"/>
              <w:right w:val="nil"/>
            </w:tcBorders>
            <w:vAlign w:val="bottom"/>
          </w:tcPr>
          <w:p w:rsidR="009B3687" w:rsidRDefault="00DE1D84">
            <w:pPr>
              <w:spacing w:after="0" w:line="259" w:lineRule="auto"/>
              <w:ind w:left="115" w:firstLine="0"/>
            </w:pPr>
            <w:r>
              <w:rPr>
                <w:noProof/>
              </w:rPr>
              <w:drawing>
                <wp:inline distT="0" distB="0" distL="0" distR="0">
                  <wp:extent cx="112776" cy="48782"/>
                  <wp:effectExtent l="0" t="0" r="0" b="0"/>
                  <wp:docPr id="10468" name="Picture 10468"/>
                  <wp:cNvGraphicFramePr/>
                  <a:graphic xmlns:a="http://schemas.openxmlformats.org/drawingml/2006/main">
                    <a:graphicData uri="http://schemas.openxmlformats.org/drawingml/2006/picture">
                      <pic:pic xmlns:pic="http://schemas.openxmlformats.org/drawingml/2006/picture">
                        <pic:nvPicPr>
                          <pic:cNvPr id="10468" name="Picture 10468"/>
                          <pic:cNvPicPr/>
                        </pic:nvPicPr>
                        <pic:blipFill>
                          <a:blip r:embed="rId5"/>
                          <a:stretch>
                            <a:fillRect/>
                          </a:stretch>
                        </pic:blipFill>
                        <pic:spPr>
                          <a:xfrm>
                            <a:off x="0" y="0"/>
                            <a:ext cx="112776" cy="48782"/>
                          </a:xfrm>
                          <a:prstGeom prst="rect">
                            <a:avLst/>
                          </a:prstGeom>
                        </pic:spPr>
                      </pic:pic>
                    </a:graphicData>
                  </a:graphic>
                </wp:inline>
              </w:drawing>
            </w:r>
          </w:p>
        </w:tc>
        <w:tc>
          <w:tcPr>
            <w:tcW w:w="165" w:type="dxa"/>
            <w:tcBorders>
              <w:top w:val="nil"/>
              <w:left w:val="nil"/>
              <w:bottom w:val="nil"/>
              <w:right w:val="nil"/>
            </w:tcBorders>
            <w:vAlign w:val="bottom"/>
          </w:tcPr>
          <w:p w:rsidR="009B3687" w:rsidRDefault="00DE1D84">
            <w:pPr>
              <w:spacing w:after="0" w:line="259" w:lineRule="auto"/>
              <w:ind w:left="-9" w:firstLine="0"/>
            </w:pPr>
            <w:proofErr w:type="spellStart"/>
            <w:r>
              <w:rPr>
                <w:sz w:val="16"/>
              </w:rPr>
              <w:t>ral</w:t>
            </w:r>
            <w:proofErr w:type="spellEnd"/>
          </w:p>
        </w:tc>
      </w:tr>
    </w:tbl>
    <w:p w:rsidR="009B3687" w:rsidRDefault="00DE1D84">
      <w:pPr>
        <w:spacing w:after="32" w:line="216" w:lineRule="auto"/>
        <w:ind w:left="-58" w:right="2361" w:hanging="10"/>
        <w:jc w:val="both"/>
      </w:pPr>
      <w:r>
        <w:rPr>
          <w:noProof/>
        </w:rPr>
        <w:drawing>
          <wp:anchor distT="0" distB="0" distL="114300" distR="114300" simplePos="0" relativeHeight="251659264" behindDoc="0" locked="0" layoutInCell="1" allowOverlap="0">
            <wp:simplePos x="0" y="0"/>
            <wp:positionH relativeFrom="column">
              <wp:posOffset>6080760</wp:posOffset>
            </wp:positionH>
            <wp:positionV relativeFrom="paragraph">
              <wp:posOffset>-119330</wp:posOffset>
            </wp:positionV>
            <wp:extent cx="539496" cy="457330"/>
            <wp:effectExtent l="0" t="0" r="0" b="0"/>
            <wp:wrapSquare wrapText="bothSides"/>
            <wp:docPr id="3988" name="Picture 3988"/>
            <wp:cNvGraphicFramePr/>
            <a:graphic xmlns:a="http://schemas.openxmlformats.org/drawingml/2006/main">
              <a:graphicData uri="http://schemas.openxmlformats.org/drawingml/2006/picture">
                <pic:pic xmlns:pic="http://schemas.openxmlformats.org/drawingml/2006/picture">
                  <pic:nvPicPr>
                    <pic:cNvPr id="3988" name="Picture 3988"/>
                    <pic:cNvPicPr/>
                  </pic:nvPicPr>
                  <pic:blipFill>
                    <a:blip r:embed="rId6"/>
                    <a:stretch>
                      <a:fillRect/>
                    </a:stretch>
                  </pic:blipFill>
                  <pic:spPr>
                    <a:xfrm>
                      <a:off x="0" y="0"/>
                      <a:ext cx="539496" cy="457330"/>
                    </a:xfrm>
                    <a:prstGeom prst="rect">
                      <a:avLst/>
                    </a:prstGeom>
                  </pic:spPr>
                </pic:pic>
              </a:graphicData>
            </a:graphic>
          </wp:anchor>
        </w:drawing>
      </w:r>
      <w:r>
        <w:rPr>
          <w:noProof/>
        </w:rPr>
        <w:drawing>
          <wp:anchor distT="0" distB="0" distL="114300" distR="114300" simplePos="0" relativeHeight="251660288" behindDoc="0" locked="0" layoutInCell="1" allowOverlap="0">
            <wp:simplePos x="0" y="0"/>
            <wp:positionH relativeFrom="column">
              <wp:posOffset>155448</wp:posOffset>
            </wp:positionH>
            <wp:positionV relativeFrom="paragraph">
              <wp:posOffset>-24815</wp:posOffset>
            </wp:positionV>
            <wp:extent cx="1362456" cy="557943"/>
            <wp:effectExtent l="0" t="0" r="0" b="0"/>
            <wp:wrapSquare wrapText="bothSides"/>
            <wp:docPr id="3986" name="Picture 3986"/>
            <wp:cNvGraphicFramePr/>
            <a:graphic xmlns:a="http://schemas.openxmlformats.org/drawingml/2006/main">
              <a:graphicData uri="http://schemas.openxmlformats.org/drawingml/2006/picture">
                <pic:pic xmlns:pic="http://schemas.openxmlformats.org/drawingml/2006/picture">
                  <pic:nvPicPr>
                    <pic:cNvPr id="3986" name="Picture 3986"/>
                    <pic:cNvPicPr/>
                  </pic:nvPicPr>
                  <pic:blipFill>
                    <a:blip r:embed="rId7"/>
                    <a:stretch>
                      <a:fillRect/>
                    </a:stretch>
                  </pic:blipFill>
                  <pic:spPr>
                    <a:xfrm>
                      <a:off x="0" y="0"/>
                      <a:ext cx="1362456" cy="557943"/>
                    </a:xfrm>
                    <a:prstGeom prst="rect">
                      <a:avLst/>
                    </a:prstGeom>
                  </pic:spPr>
                </pic:pic>
              </a:graphicData>
            </a:graphic>
          </wp:anchor>
        </w:drawing>
      </w:r>
      <w:r>
        <w:t>Vodafone Czech Republic a.s. Vodafone péče o zákazníky: 800 77 OO 77 náměstí Junkových 2 IČO: 25788001, DIČ:</w:t>
      </w:r>
    </w:p>
    <w:p w:rsidR="009B3687" w:rsidRDefault="00DE1D84">
      <w:pPr>
        <w:tabs>
          <w:tab w:val="center" w:pos="4037"/>
          <w:tab w:val="right" w:pos="10478"/>
        </w:tabs>
        <w:spacing w:after="0" w:line="259" w:lineRule="auto"/>
        <w:ind w:left="-3346" w:firstLine="0"/>
      </w:pPr>
      <w:r>
        <w:tab/>
        <w:t>CZ25788001</w:t>
      </w:r>
      <w:r>
        <w:tab/>
        <w:t xml:space="preserve">První zelená </w:t>
      </w:r>
      <w:proofErr w:type="spellStart"/>
      <w:r>
        <w:t>siť</w:t>
      </w:r>
      <w:proofErr w:type="spellEnd"/>
    </w:p>
    <w:p w:rsidR="009B3687" w:rsidRDefault="00DE1D84">
      <w:pPr>
        <w:tabs>
          <w:tab w:val="center" w:pos="4138"/>
          <w:tab w:val="center" w:pos="6312"/>
        </w:tabs>
        <w:spacing w:after="3" w:line="259" w:lineRule="auto"/>
        <w:ind w:left="0" w:firstLine="0"/>
      </w:pPr>
      <w:r>
        <w:tab/>
        <w:t>155 OO Praha 5</w:t>
      </w:r>
      <w:r>
        <w:tab/>
        <w:t>vodafone.cz</w:t>
      </w:r>
    </w:p>
    <w:p w:rsidR="009B3687" w:rsidRDefault="00DE1D84">
      <w:pPr>
        <w:spacing w:after="0" w:line="265" w:lineRule="auto"/>
        <w:ind w:left="2396" w:hanging="10"/>
      </w:pPr>
      <w:r>
        <w:rPr>
          <w:sz w:val="16"/>
        </w:rPr>
        <w:t>Dodatek č. 1-284765487084_0 k Účastnické smlouvě č. I-275868916663_0</w:t>
      </w:r>
    </w:p>
    <w:tbl>
      <w:tblPr>
        <w:tblStyle w:val="TableGrid"/>
        <w:tblpPr w:vertAnchor="text" w:tblpX="38" w:tblpY="1311"/>
        <w:tblOverlap w:val="never"/>
        <w:tblW w:w="9384" w:type="dxa"/>
        <w:tblInd w:w="0" w:type="dxa"/>
        <w:tblCellMar>
          <w:top w:w="33" w:type="dxa"/>
          <w:left w:w="0" w:type="dxa"/>
          <w:bottom w:w="12" w:type="dxa"/>
          <w:right w:w="0" w:type="dxa"/>
        </w:tblCellMar>
        <w:tblLook w:val="04A0" w:firstRow="1" w:lastRow="0" w:firstColumn="1" w:lastColumn="0" w:noHBand="0" w:noVBand="1"/>
      </w:tblPr>
      <w:tblGrid>
        <w:gridCol w:w="4925"/>
        <w:gridCol w:w="4459"/>
      </w:tblGrid>
      <w:tr w:rsidR="009B3687">
        <w:trPr>
          <w:trHeight w:val="583"/>
        </w:trPr>
        <w:tc>
          <w:tcPr>
            <w:tcW w:w="4925" w:type="dxa"/>
            <w:tcBorders>
              <w:top w:val="nil"/>
              <w:left w:val="nil"/>
              <w:bottom w:val="nil"/>
              <w:right w:val="nil"/>
            </w:tcBorders>
          </w:tcPr>
          <w:p w:rsidR="009B3687" w:rsidRDefault="00DE1D84">
            <w:pPr>
              <w:spacing w:after="0" w:line="259" w:lineRule="auto"/>
              <w:ind w:left="0" w:firstLine="0"/>
            </w:pPr>
            <w:r>
              <w:rPr>
                <w:sz w:val="20"/>
              </w:rPr>
              <w:t>Vodafone Czech Republic a.s.</w:t>
            </w:r>
          </w:p>
        </w:tc>
        <w:tc>
          <w:tcPr>
            <w:tcW w:w="4459" w:type="dxa"/>
            <w:tcBorders>
              <w:top w:val="nil"/>
              <w:left w:val="nil"/>
              <w:bottom w:val="nil"/>
              <w:right w:val="nil"/>
            </w:tcBorders>
          </w:tcPr>
          <w:p w:rsidR="009B3687" w:rsidRDefault="00DE1D84">
            <w:pPr>
              <w:spacing w:after="0" w:line="259" w:lineRule="auto"/>
              <w:ind w:left="0" w:firstLine="0"/>
              <w:jc w:val="both"/>
            </w:pPr>
            <w:r>
              <w:rPr>
                <w:sz w:val="20"/>
              </w:rPr>
              <w:t xml:space="preserve">Česká lesnická akademie </w:t>
            </w:r>
            <w:proofErr w:type="gramStart"/>
            <w:r>
              <w:rPr>
                <w:sz w:val="20"/>
              </w:rPr>
              <w:t>Trutnov - střední</w:t>
            </w:r>
            <w:proofErr w:type="gramEnd"/>
            <w:r>
              <w:rPr>
                <w:sz w:val="20"/>
              </w:rPr>
              <w:t xml:space="preserve"> škola vyšší odborná škola</w:t>
            </w:r>
          </w:p>
        </w:tc>
      </w:tr>
      <w:tr w:rsidR="009B3687">
        <w:trPr>
          <w:trHeight w:val="463"/>
        </w:trPr>
        <w:tc>
          <w:tcPr>
            <w:tcW w:w="4925" w:type="dxa"/>
            <w:tcBorders>
              <w:top w:val="nil"/>
              <w:left w:val="nil"/>
              <w:bottom w:val="nil"/>
              <w:right w:val="nil"/>
            </w:tcBorders>
            <w:vAlign w:val="center"/>
          </w:tcPr>
          <w:p w:rsidR="009B3687" w:rsidRDefault="00DE1D84">
            <w:pPr>
              <w:tabs>
                <w:tab w:val="center" w:pos="1865"/>
              </w:tabs>
              <w:spacing w:after="0" w:line="259" w:lineRule="auto"/>
              <w:ind w:left="0" w:firstLine="0"/>
            </w:pPr>
            <w:r>
              <w:rPr>
                <w:sz w:val="20"/>
              </w:rPr>
              <w:t>Místo:</w:t>
            </w:r>
            <w:r>
              <w:rPr>
                <w:sz w:val="20"/>
              </w:rPr>
              <w:tab/>
            </w:r>
            <w:r>
              <w:rPr>
                <w:sz w:val="20"/>
              </w:rPr>
              <w:t>V Trutnov</w:t>
            </w:r>
          </w:p>
        </w:tc>
        <w:tc>
          <w:tcPr>
            <w:tcW w:w="4459" w:type="dxa"/>
            <w:tcBorders>
              <w:top w:val="nil"/>
              <w:left w:val="nil"/>
              <w:bottom w:val="nil"/>
              <w:right w:val="nil"/>
            </w:tcBorders>
            <w:vAlign w:val="center"/>
          </w:tcPr>
          <w:p w:rsidR="009B3687" w:rsidRDefault="00DE1D84">
            <w:pPr>
              <w:tabs>
                <w:tab w:val="center" w:pos="1915"/>
              </w:tabs>
              <w:spacing w:after="0" w:line="259" w:lineRule="auto"/>
              <w:ind w:left="0" w:firstLine="0"/>
            </w:pPr>
            <w:r>
              <w:rPr>
                <w:sz w:val="20"/>
              </w:rPr>
              <w:t>Místo:</w:t>
            </w:r>
            <w:r>
              <w:rPr>
                <w:noProof/>
              </w:rPr>
              <w:drawing>
                <wp:inline distT="0" distB="0" distL="0" distR="0">
                  <wp:extent cx="3048" cy="3049"/>
                  <wp:effectExtent l="0" t="0" r="0" b="0"/>
                  <wp:docPr id="5563" name="Picture 5563"/>
                  <wp:cNvGraphicFramePr/>
                  <a:graphic xmlns:a="http://schemas.openxmlformats.org/drawingml/2006/main">
                    <a:graphicData uri="http://schemas.openxmlformats.org/drawingml/2006/picture">
                      <pic:pic xmlns:pic="http://schemas.openxmlformats.org/drawingml/2006/picture">
                        <pic:nvPicPr>
                          <pic:cNvPr id="5563" name="Picture 5563"/>
                          <pic:cNvPicPr/>
                        </pic:nvPicPr>
                        <pic:blipFill>
                          <a:blip r:embed="rId8"/>
                          <a:stretch>
                            <a:fillRect/>
                          </a:stretch>
                        </pic:blipFill>
                        <pic:spPr>
                          <a:xfrm>
                            <a:off x="0" y="0"/>
                            <a:ext cx="3048" cy="3049"/>
                          </a:xfrm>
                          <a:prstGeom prst="rect">
                            <a:avLst/>
                          </a:prstGeom>
                        </pic:spPr>
                      </pic:pic>
                    </a:graphicData>
                  </a:graphic>
                </wp:inline>
              </w:drawing>
            </w:r>
            <w:r>
              <w:rPr>
                <w:sz w:val="20"/>
              </w:rPr>
              <w:tab/>
              <w:t>V Trutnov</w:t>
            </w:r>
          </w:p>
        </w:tc>
      </w:tr>
      <w:tr w:rsidR="009B3687">
        <w:trPr>
          <w:trHeight w:val="365"/>
        </w:trPr>
        <w:tc>
          <w:tcPr>
            <w:tcW w:w="4925" w:type="dxa"/>
            <w:tcBorders>
              <w:top w:val="nil"/>
              <w:left w:val="nil"/>
              <w:bottom w:val="nil"/>
              <w:right w:val="nil"/>
            </w:tcBorders>
            <w:vAlign w:val="bottom"/>
          </w:tcPr>
          <w:p w:rsidR="009B3687" w:rsidRDefault="00DE1D84">
            <w:pPr>
              <w:tabs>
                <w:tab w:val="center" w:pos="1894"/>
              </w:tabs>
              <w:spacing w:after="0" w:line="259" w:lineRule="auto"/>
              <w:ind w:left="0" w:firstLine="0"/>
            </w:pPr>
            <w:r>
              <w:t>Datum:</w:t>
            </w:r>
            <w:r>
              <w:tab/>
              <w:t>dne 5. 12, 2022</w:t>
            </w:r>
          </w:p>
        </w:tc>
        <w:tc>
          <w:tcPr>
            <w:tcW w:w="4459" w:type="dxa"/>
            <w:tcBorders>
              <w:top w:val="nil"/>
              <w:left w:val="nil"/>
              <w:bottom w:val="nil"/>
              <w:right w:val="nil"/>
            </w:tcBorders>
          </w:tcPr>
          <w:p w:rsidR="009B3687" w:rsidRDefault="00DE1D84">
            <w:pPr>
              <w:tabs>
                <w:tab w:val="center" w:pos="2088"/>
              </w:tabs>
              <w:spacing w:after="0" w:line="259" w:lineRule="auto"/>
              <w:ind w:left="0" w:firstLine="0"/>
            </w:pPr>
            <w:r>
              <w:rPr>
                <w:sz w:val="26"/>
              </w:rPr>
              <w:t>Datum:</w:t>
            </w:r>
            <w:r>
              <w:rPr>
                <w:sz w:val="26"/>
              </w:rPr>
              <w:tab/>
              <w:t xml:space="preserve">dne </w:t>
            </w:r>
            <w:proofErr w:type="gramStart"/>
            <w:r>
              <w:rPr>
                <w:sz w:val="26"/>
              </w:rPr>
              <w:t>5 .</w:t>
            </w:r>
            <w:proofErr w:type="gramEnd"/>
            <w:r>
              <w:rPr>
                <w:sz w:val="26"/>
              </w:rPr>
              <w:t xml:space="preserve"> </w:t>
            </w:r>
            <w:proofErr w:type="gramStart"/>
            <w:r>
              <w:rPr>
                <w:sz w:val="26"/>
              </w:rPr>
              <w:t>12 .</w:t>
            </w:r>
            <w:proofErr w:type="gramEnd"/>
            <w:r>
              <w:rPr>
                <w:sz w:val="26"/>
              </w:rPr>
              <w:t xml:space="preserve"> 2022</w:t>
            </w:r>
          </w:p>
        </w:tc>
      </w:tr>
    </w:tbl>
    <w:p w:rsidR="009B3687" w:rsidRDefault="00DE1D84">
      <w:pPr>
        <w:spacing w:after="248" w:line="1123" w:lineRule="auto"/>
        <w:ind w:left="4018" w:right="1526" w:hanging="10"/>
        <w:jc w:val="right"/>
      </w:pPr>
      <w:r>
        <w:rPr>
          <w:sz w:val="16"/>
        </w:rPr>
        <w:t xml:space="preserve">ID nabídky 0000342179 a </w:t>
      </w:r>
    </w:p>
    <w:p w:rsidR="009B3687" w:rsidRDefault="00DE1D84">
      <w:pPr>
        <w:tabs>
          <w:tab w:val="center" w:pos="7183"/>
        </w:tabs>
        <w:spacing w:after="199"/>
        <w:ind w:left="0" w:firstLine="0"/>
      </w:pPr>
      <w:bookmarkStart w:id="0" w:name="_GoBack"/>
      <w:bookmarkEnd w:id="0"/>
      <w:proofErr w:type="spellStart"/>
      <w:r>
        <w:t>Jméno:Jméno</w:t>
      </w:r>
      <w:proofErr w:type="spellEnd"/>
      <w:r>
        <w:t>:</w:t>
      </w:r>
      <w:r>
        <w:tab/>
        <w:t>Ing. Miloš Pochobradský</w:t>
      </w:r>
    </w:p>
    <w:p w:rsidR="009B3687" w:rsidRDefault="00DE1D84">
      <w:pPr>
        <w:spacing w:after="336" w:line="265" w:lineRule="auto"/>
        <w:ind w:left="38" w:right="922" w:hanging="10"/>
      </w:pPr>
      <w:proofErr w:type="spellStart"/>
      <w:proofErr w:type="gramStart"/>
      <w:r>
        <w:rPr>
          <w:sz w:val="20"/>
        </w:rPr>
        <w:t>Pozice:Pozice</w:t>
      </w:r>
      <w:proofErr w:type="spellEnd"/>
      <w:proofErr w:type="gramEnd"/>
      <w:r>
        <w:rPr>
          <w:sz w:val="20"/>
        </w:rPr>
        <w:t>:</w:t>
      </w:r>
    </w:p>
    <w:p w:rsidR="009B3687" w:rsidRDefault="00DE1D84">
      <w:pPr>
        <w:spacing w:after="732" w:line="265" w:lineRule="auto"/>
        <w:ind w:left="38" w:right="922" w:hanging="10"/>
      </w:pPr>
      <w:proofErr w:type="spellStart"/>
      <w:proofErr w:type="gramStart"/>
      <w:r>
        <w:rPr>
          <w:sz w:val="20"/>
        </w:rPr>
        <w:t>Podpis:Podpis</w:t>
      </w:r>
      <w:proofErr w:type="spellEnd"/>
      <w:proofErr w:type="gramEnd"/>
      <w:r>
        <w:rPr>
          <w:sz w:val="20"/>
        </w:rPr>
        <w:t>:</w:t>
      </w:r>
    </w:p>
    <w:p w:rsidR="009B3687" w:rsidRDefault="00DE1D84">
      <w:pPr>
        <w:spacing w:after="9128" w:line="259" w:lineRule="auto"/>
        <w:ind w:left="38" w:firstLine="0"/>
        <w:jc w:val="center"/>
      </w:pPr>
      <w:r>
        <w:rPr>
          <w:noProof/>
          <w:sz w:val="22"/>
        </w:rPr>
        <mc:AlternateContent>
          <mc:Choice Requires="wpg">
            <w:drawing>
              <wp:anchor distT="0" distB="0" distL="114300" distR="114300" simplePos="0" relativeHeight="251663360" behindDoc="0" locked="0" layoutInCell="1" allowOverlap="1">
                <wp:simplePos x="0" y="0"/>
                <wp:positionH relativeFrom="page">
                  <wp:posOffset>478536</wp:posOffset>
                </wp:positionH>
                <wp:positionV relativeFrom="page">
                  <wp:posOffset>9808212</wp:posOffset>
                </wp:positionV>
                <wp:extent cx="30480" cy="423794"/>
                <wp:effectExtent l="0" t="0" r="0" b="0"/>
                <wp:wrapSquare wrapText="bothSides"/>
                <wp:docPr id="10467" name="Group 10467"/>
                <wp:cNvGraphicFramePr/>
                <a:graphic xmlns:a="http://schemas.openxmlformats.org/drawingml/2006/main">
                  <a:graphicData uri="http://schemas.microsoft.com/office/word/2010/wordprocessingGroup">
                    <wpg:wgp>
                      <wpg:cNvGrpSpPr/>
                      <wpg:grpSpPr>
                        <a:xfrm>
                          <a:off x="0" y="0"/>
                          <a:ext cx="30480" cy="423794"/>
                          <a:chOff x="0" y="0"/>
                          <a:chExt cx="30480" cy="423794"/>
                        </a:xfrm>
                      </wpg:grpSpPr>
                      <wps:wsp>
                        <wps:cNvPr id="4761" name="Rectangle 4761"/>
                        <wps:cNvSpPr/>
                        <wps:spPr>
                          <a:xfrm>
                            <a:off x="0" y="0"/>
                            <a:ext cx="40538" cy="563645"/>
                          </a:xfrm>
                          <a:prstGeom prst="rect">
                            <a:avLst/>
                          </a:prstGeom>
                          <a:ln>
                            <a:noFill/>
                          </a:ln>
                        </wps:spPr>
                        <wps:txbx>
                          <w:txbxContent>
                            <w:p w:rsidR="009B3687" w:rsidRDefault="00DE1D84">
                              <w:pPr>
                                <w:spacing w:after="160" w:line="259" w:lineRule="auto"/>
                                <w:ind w:left="0" w:firstLine="0"/>
                              </w:pPr>
                              <w:r>
                                <w:rPr>
                                  <w:sz w:val="64"/>
                                </w:rPr>
                                <w:t>I</w:t>
                              </w:r>
                            </w:p>
                          </w:txbxContent>
                        </wps:txbx>
                        <wps:bodyPr horzOverflow="overflow" vert="horz" lIns="0" tIns="0" rIns="0" bIns="0" rtlCol="0">
                          <a:noAutofit/>
                        </wps:bodyPr>
                      </wps:wsp>
                    </wpg:wgp>
                  </a:graphicData>
                </a:graphic>
              </wp:anchor>
            </w:drawing>
          </mc:Choice>
          <mc:Fallback xmlns:a="http://schemas.openxmlformats.org/drawingml/2006/main">
            <w:pict>
              <v:group id="Group 10467" style="width:2.4pt;height:33.3696pt;position:absolute;mso-position-horizontal-relative:page;mso-position-horizontal:absolute;margin-left:37.68pt;mso-position-vertical-relative:page;margin-top:772.3pt;" coordsize="304,4237">
                <v:rect id="Rectangle 4761" style="position:absolute;width:405;height:5636;left:0;top:0;" filled="f" stroked="f">
                  <v:textbox inset="0,0,0,0">
                    <w:txbxContent>
                      <w:p>
                        <w:pPr>
                          <w:spacing w:before="0" w:after="160" w:line="259" w:lineRule="auto"/>
                          <w:ind w:left="0" w:firstLine="0"/>
                        </w:pPr>
                        <w:r>
                          <w:rPr>
                            <w:sz w:val="64"/>
                          </w:rPr>
                          <w:t xml:space="preserve">I</w:t>
                        </w:r>
                      </w:p>
                    </w:txbxContent>
                  </v:textbox>
                </v:rect>
                <w10:wrap type="square"/>
              </v:group>
            </w:pict>
          </mc:Fallback>
        </mc:AlternateContent>
      </w:r>
      <w:r>
        <w:rPr>
          <w:sz w:val="20"/>
        </w:rPr>
        <w:t>Razítko:</w:t>
      </w:r>
    </w:p>
    <w:p w:rsidR="009B3687" w:rsidRDefault="00DE1D84">
      <w:pPr>
        <w:spacing w:after="188" w:line="259" w:lineRule="auto"/>
        <w:ind w:left="0" w:right="816" w:firstLine="0"/>
        <w:jc w:val="right"/>
      </w:pPr>
      <w:r>
        <w:rPr>
          <w:rFonts w:ascii="Times New Roman" w:eastAsia="Times New Roman" w:hAnsi="Times New Roman" w:cs="Times New Roman"/>
        </w:rPr>
        <w:t>3/3</w:t>
      </w:r>
    </w:p>
    <w:p w:rsidR="009B3687" w:rsidRDefault="00DE1D84">
      <w:pPr>
        <w:spacing w:after="0" w:line="216" w:lineRule="auto"/>
        <w:ind w:left="-58" w:right="2361" w:hanging="10"/>
        <w:jc w:val="both"/>
      </w:pPr>
      <w:r>
        <w:lastRenderedPageBreak/>
        <w:t>Vodafone Czech Republic a.s. Vodafone péče o IIIIIIIIIIIIIIIIIIIIIIIIIIIIIIIIIIIIIIIIIIIIIIIII náměstí Junkových 2 IČO: 257880011 DIČ: zákazníky: 800 77 OO 77</w:t>
      </w:r>
    </w:p>
    <w:p w:rsidR="009B3687" w:rsidRDefault="00DE1D84">
      <w:pPr>
        <w:tabs>
          <w:tab w:val="right" w:pos="10478"/>
        </w:tabs>
        <w:spacing w:after="29"/>
        <w:ind w:left="-53" w:firstLine="0"/>
      </w:pPr>
      <w:r>
        <w:t>CZ25788001</w:t>
      </w:r>
      <w:r>
        <w:tab/>
      </w:r>
      <w:proofErr w:type="spellStart"/>
      <w:r>
        <w:t>Prvnízelenásíť</w:t>
      </w:r>
      <w:proofErr w:type="spellEnd"/>
    </w:p>
    <w:p w:rsidR="009B3687" w:rsidRDefault="00DE1D84">
      <w:pPr>
        <w:tabs>
          <w:tab w:val="center" w:pos="4169"/>
          <w:tab w:val="center" w:pos="6346"/>
        </w:tabs>
        <w:spacing w:after="3" w:line="259" w:lineRule="auto"/>
        <w:ind w:left="0" w:firstLine="0"/>
      </w:pPr>
      <w:r>
        <w:tab/>
        <w:t>155 OO Praha 5</w:t>
      </w:r>
      <w:r>
        <w:tab/>
        <w:t>vodafone.cz</w:t>
      </w:r>
    </w:p>
    <w:p w:rsidR="009B3687" w:rsidRDefault="00DE1D84">
      <w:pPr>
        <w:spacing w:after="0" w:line="259" w:lineRule="auto"/>
        <w:ind w:left="72" w:firstLine="0"/>
      </w:pPr>
      <w:proofErr w:type="spellStart"/>
      <w:r>
        <w:rPr>
          <w:rFonts w:ascii="Times New Roman" w:eastAsia="Times New Roman" w:hAnsi="Times New Roman" w:cs="Times New Roman"/>
          <w:sz w:val="14"/>
        </w:rPr>
        <w:t>ral</w:t>
      </w:r>
      <w:proofErr w:type="spellEnd"/>
    </w:p>
    <w:sectPr w:rsidR="009B3687">
      <w:pgSz w:w="11904" w:h="16834"/>
      <w:pgMar w:top="419" w:right="619" w:bottom="399" w:left="80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1" w:cryptProviderType="rsaAES" w:cryptAlgorithmClass="hash" w:cryptAlgorithmType="typeAny" w:cryptAlgorithmSid="14" w:cryptSpinCount="100000" w:hash="GxHl/zcJ4BVLzHU1PSex1jfOIAmsdwcom5wRj/Y/RDtn3gUL+hO3FeRBiPIYSnfTVa+Gc/WnJj+khqU7EvWv+g==" w:salt="oEA5Enrfrqa1nS0nELi7rA=="/>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687"/>
    <w:rsid w:val="009B3687"/>
    <w:rsid w:val="00B61AFA"/>
    <w:rsid w:val="00DE1D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26FA1E-5A11-4852-B487-6F93B5BC9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114" w:line="221" w:lineRule="auto"/>
      <w:ind w:left="67" w:firstLine="4"/>
    </w:pPr>
    <w:rPr>
      <w:rFonts w:ascii="Courier New" w:eastAsia="Courier New" w:hAnsi="Courier New" w:cs="Courier New"/>
      <w:color w:val="000000"/>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630</Words>
  <Characters>3722</Characters>
  <Application>Microsoft Office Word</Application>
  <DocSecurity>8</DocSecurity>
  <Lines>31</Lines>
  <Paragraphs>8</Paragraphs>
  <ScaleCrop>false</ScaleCrop>
  <Company>Ceska lesnicka akademie Trutnov</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Sekretariát</dc:creator>
  <cp:keywords/>
  <cp:lastModifiedBy>Sekretariát</cp:lastModifiedBy>
  <cp:revision>3</cp:revision>
  <dcterms:created xsi:type="dcterms:W3CDTF">2022-12-07T13:36:00Z</dcterms:created>
  <dcterms:modified xsi:type="dcterms:W3CDTF">2022-12-07T13:36:00Z</dcterms:modified>
</cp:coreProperties>
</file>