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5569" w14:textId="72762BC3" w:rsidR="006A7941" w:rsidRPr="00CF3B49" w:rsidRDefault="006A7941" w:rsidP="006A7941">
      <w:pPr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cs-CZ"/>
        </w:rPr>
      </w:pPr>
      <w:r w:rsidRPr="00CF3B49">
        <w:rPr>
          <w:rFonts w:ascii="Arial" w:eastAsia="Times New Roman" w:hAnsi="Arial" w:cs="Arial"/>
          <w:b/>
          <w:bCs/>
          <w:caps/>
          <w:sz w:val="28"/>
          <w:szCs w:val="28"/>
          <w:lang w:eastAsia="cs-CZ"/>
        </w:rPr>
        <w:t xml:space="preserve">Smlouva o </w:t>
      </w:r>
      <w:r w:rsidR="004A5F53">
        <w:rPr>
          <w:rFonts w:ascii="Arial" w:eastAsia="Times New Roman" w:hAnsi="Arial" w:cs="Arial"/>
          <w:b/>
          <w:bCs/>
          <w:caps/>
          <w:sz w:val="28"/>
          <w:szCs w:val="28"/>
          <w:lang w:eastAsia="cs-CZ"/>
        </w:rPr>
        <w:t>POSKYTOVÁNÍ ODBORNÝCH SLUŽEB</w:t>
      </w:r>
    </w:p>
    <w:p w14:paraId="11F3927C" w14:textId="77777777" w:rsidR="004347BC" w:rsidRPr="00CF3B49" w:rsidRDefault="004347BC" w:rsidP="006A7941">
      <w:pPr>
        <w:jc w:val="center"/>
        <w:rPr>
          <w:rFonts w:ascii="Arial" w:eastAsia="Times New Roman" w:hAnsi="Arial" w:cs="Arial"/>
          <w:bCs/>
          <w:caps/>
          <w:sz w:val="20"/>
          <w:szCs w:val="20"/>
          <w:lang w:eastAsia="cs-CZ"/>
        </w:rPr>
      </w:pPr>
    </w:p>
    <w:p w14:paraId="484763E8" w14:textId="77777777" w:rsidR="006D3245" w:rsidRPr="00CF3B49" w:rsidRDefault="006D3245" w:rsidP="006A7941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5D09258" w14:textId="77777777" w:rsidR="00CF2C1C" w:rsidRPr="00CF3B49" w:rsidRDefault="00CF2C1C" w:rsidP="006A7941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D8B3CB8" w14:textId="77777777" w:rsidR="00CF2C1C" w:rsidRPr="00CF3B49" w:rsidRDefault="00CF2C1C" w:rsidP="006A7941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1A53756" w14:textId="77777777" w:rsidR="006A7941" w:rsidRPr="00CF3B49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Česká republika – Ministerstvo práce a sociálních věcí</w:t>
      </w:r>
    </w:p>
    <w:p w14:paraId="7A48A592" w14:textId="77777777" w:rsidR="006A7941" w:rsidRPr="00CF3B49" w:rsidRDefault="00CF2C1C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ídlem: 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>Na Poříčním právu 376/1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>128 01 Praha 2</w:t>
      </w:r>
    </w:p>
    <w:p w14:paraId="638F6B71" w14:textId="031F0DE7" w:rsidR="006A7941" w:rsidRPr="00CF3B49" w:rsidRDefault="006A7941" w:rsidP="00205EC7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IČO: 00551023</w:t>
      </w:r>
    </w:p>
    <w:p w14:paraId="1019B9CD" w14:textId="77777777" w:rsidR="004347BC" w:rsidRPr="00CF3B49" w:rsidRDefault="004347BC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F9A897" w14:textId="77777777" w:rsidR="006A7941" w:rsidRPr="00CF3B49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CF2C1C" w:rsidRPr="00CF3B49">
        <w:rPr>
          <w:rFonts w:ascii="Arial" w:eastAsia="Times New Roman" w:hAnsi="Arial" w:cs="Arial"/>
          <w:b/>
          <w:i/>
          <w:sz w:val="20"/>
          <w:szCs w:val="20"/>
          <w:lang w:eastAsia="cs-CZ"/>
        </w:rPr>
        <w:t>O</w:t>
      </w:r>
      <w:r w:rsidRPr="00CF3B49">
        <w:rPr>
          <w:rFonts w:ascii="Arial" w:eastAsia="Times New Roman" w:hAnsi="Arial" w:cs="Arial"/>
          <w:b/>
          <w:i/>
          <w:sz w:val="20"/>
          <w:szCs w:val="20"/>
          <w:lang w:eastAsia="cs-CZ"/>
        </w:rPr>
        <w:t>bjednatel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15C58EC3" w14:textId="77777777" w:rsidR="006A7941" w:rsidRPr="00CF3B49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028383" w14:textId="77777777" w:rsidR="006D3245" w:rsidRPr="00CF3B49" w:rsidRDefault="006D3245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7C2D08" w14:textId="77777777" w:rsidR="006A7941" w:rsidRPr="00CF3B49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34D849B9" w14:textId="77777777" w:rsidR="006A7941" w:rsidRPr="00CF3B49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BD4C34" w14:textId="77777777" w:rsidR="005B41B6" w:rsidRPr="00CF3B49" w:rsidRDefault="005B41B6" w:rsidP="005B41B6">
      <w:pPr>
        <w:spacing w:line="280" w:lineRule="atLeast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F3B49">
        <w:rPr>
          <w:rFonts w:ascii="Arial" w:eastAsia="Tahoma" w:hAnsi="Arial" w:cs="Arial"/>
          <w:b/>
          <w:sz w:val="20"/>
          <w:szCs w:val="20"/>
        </w:rPr>
        <w:t>Mgr. Irena Bartoňová Pálková</w:t>
      </w:r>
      <w:r w:rsidRPr="00CF3B4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6CD4447E" w14:textId="05016384" w:rsidR="00CF2C1C" w:rsidRPr="00CF3B49" w:rsidRDefault="00CF2C1C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Hlk120177118"/>
      <w:bookmarkStart w:id="1" w:name="_Hlk100829921"/>
      <w:r w:rsidRPr="00CF3B49">
        <w:rPr>
          <w:rFonts w:ascii="Arial" w:eastAsia="Times New Roman" w:hAnsi="Arial" w:cs="Arial"/>
          <w:sz w:val="20"/>
          <w:szCs w:val="20"/>
          <w:lang w:eastAsia="cs-CZ"/>
        </w:rPr>
        <w:t>míst</w:t>
      </w:r>
      <w:r w:rsidR="0019475F" w:rsidRPr="00CF3B49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podnikání</w:t>
      </w:r>
      <w:r w:rsidR="00B37560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19475F" w:rsidRPr="00CF3B49">
        <w:rPr>
          <w:rFonts w:ascii="Arial" w:hAnsi="Arial" w:cs="Arial"/>
          <w:sz w:val="20"/>
          <w:szCs w:val="20"/>
          <w:shd w:val="clear" w:color="auto" w:fill="FFFFFF"/>
        </w:rPr>
        <w:t xml:space="preserve">Šeříková 474, </w:t>
      </w:r>
      <w:proofErr w:type="gramStart"/>
      <w:r w:rsidR="0019475F" w:rsidRPr="00CF3B49">
        <w:rPr>
          <w:rFonts w:ascii="Arial" w:hAnsi="Arial" w:cs="Arial"/>
          <w:sz w:val="20"/>
          <w:szCs w:val="20"/>
          <w:shd w:val="clear" w:color="auto" w:fill="FFFFFF"/>
        </w:rPr>
        <w:t xml:space="preserve">Jesenice </w:t>
      </w:r>
      <w:r w:rsidR="00363B84">
        <w:rPr>
          <w:rFonts w:ascii="Arial" w:hAnsi="Arial" w:cs="Arial"/>
          <w:sz w:val="20"/>
          <w:szCs w:val="20"/>
          <w:shd w:val="clear" w:color="auto" w:fill="FFFFFF"/>
        </w:rPr>
        <w:t>- Osnice</w:t>
      </w:r>
      <w:proofErr w:type="gramEnd"/>
      <w:r w:rsidR="00363B8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9475F" w:rsidRPr="00CF3B49">
        <w:rPr>
          <w:rFonts w:ascii="Arial" w:hAnsi="Arial" w:cs="Arial"/>
          <w:sz w:val="20"/>
          <w:szCs w:val="20"/>
          <w:shd w:val="clear" w:color="auto" w:fill="FFFFFF"/>
        </w:rPr>
        <w:t>252 42</w:t>
      </w:r>
    </w:p>
    <w:p w14:paraId="265494A1" w14:textId="6BBFBFA2" w:rsidR="00B37560" w:rsidRDefault="00B37560" w:rsidP="00F87D55">
      <w:pPr>
        <w:spacing w:line="28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  <w:r w:rsidR="0019475F" w:rsidRPr="00CF3B49">
        <w:rPr>
          <w:rFonts w:ascii="Arial" w:hAnsi="Arial" w:cs="Arial"/>
          <w:sz w:val="20"/>
          <w:szCs w:val="20"/>
          <w:shd w:val="clear" w:color="auto" w:fill="FFFFFF"/>
        </w:rPr>
        <w:t>16194039</w:t>
      </w:r>
      <w:bookmarkEnd w:id="0"/>
    </w:p>
    <w:p w14:paraId="3E497F5C" w14:textId="566E37FF" w:rsidR="00857B21" w:rsidRDefault="00857B21" w:rsidP="00F87D55">
      <w:pPr>
        <w:spacing w:line="28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DIČ: CZ</w:t>
      </w:r>
      <w:r w:rsidRPr="00CF3B49">
        <w:rPr>
          <w:rFonts w:ascii="Arial" w:hAnsi="Arial" w:cs="Arial"/>
          <w:sz w:val="20"/>
          <w:szCs w:val="20"/>
          <w:shd w:val="clear" w:color="auto" w:fill="FFFFFF"/>
        </w:rPr>
        <w:t>16194039</w:t>
      </w:r>
    </w:p>
    <w:p w14:paraId="5D67118B" w14:textId="697AF75F" w:rsidR="004E34C0" w:rsidRPr="00857B21" w:rsidRDefault="004E34C0" w:rsidP="00F87D55">
      <w:pPr>
        <w:spacing w:line="28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Plátce DPH</w:t>
      </w:r>
    </w:p>
    <w:bookmarkEnd w:id="1"/>
    <w:p w14:paraId="512A8881" w14:textId="77777777" w:rsidR="004347BC" w:rsidRPr="00CF3B49" w:rsidRDefault="004347BC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C38DC9" w14:textId="54BA18C0" w:rsidR="006A7941" w:rsidRPr="00CF3B49" w:rsidRDefault="00E03143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4A5F53">
        <w:rPr>
          <w:rFonts w:ascii="Arial" w:eastAsia="Times New Roman" w:hAnsi="Arial" w:cs="Arial"/>
          <w:b/>
          <w:i/>
          <w:sz w:val="20"/>
          <w:szCs w:val="20"/>
          <w:lang w:eastAsia="cs-CZ"/>
        </w:rPr>
        <w:t>Poskytovatel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54233874" w14:textId="77777777" w:rsidR="006A7941" w:rsidRPr="00CF3B49" w:rsidRDefault="006A7941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6398B36" w14:textId="77AE592A" w:rsidR="00CF2C1C" w:rsidRPr="00CF3B49" w:rsidRDefault="00CF2C1C" w:rsidP="00F87D55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D3452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bjednatel a </w:t>
      </w:r>
      <w:r w:rsidR="00D34524"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společně též jako „</w:t>
      </w:r>
      <w:r w:rsidRPr="00CF3B49">
        <w:rPr>
          <w:rFonts w:ascii="Arial" w:eastAsia="Times New Roman" w:hAnsi="Arial" w:cs="Arial"/>
          <w:b/>
          <w:i/>
          <w:sz w:val="20"/>
          <w:szCs w:val="20"/>
          <w:lang w:eastAsia="cs-CZ"/>
        </w:rPr>
        <w:t>Smluvní strany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“ a/nebo jednotlivě jako „</w:t>
      </w:r>
      <w:r w:rsidRPr="00CF3B49">
        <w:rPr>
          <w:rFonts w:ascii="Arial" w:eastAsia="Times New Roman" w:hAnsi="Arial" w:cs="Arial"/>
          <w:b/>
          <w:i/>
          <w:sz w:val="20"/>
          <w:szCs w:val="20"/>
          <w:lang w:eastAsia="cs-CZ"/>
        </w:rPr>
        <w:t>Smluvní strana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14:paraId="489E84FD" w14:textId="77777777" w:rsidR="00CF2C1C" w:rsidRPr="00CF3B49" w:rsidRDefault="00CF2C1C" w:rsidP="00F87D55">
      <w:pPr>
        <w:spacing w:line="28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60A6BF" w14:textId="77777777" w:rsidR="00BF0CD4" w:rsidRPr="00CF3B49" w:rsidRDefault="00BF0CD4" w:rsidP="00F87D55">
      <w:pPr>
        <w:spacing w:line="28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E98FC8" w14:textId="77777777" w:rsidR="00BF0CD4" w:rsidRPr="00CF3B49" w:rsidRDefault="00BF0CD4" w:rsidP="00F87D55">
      <w:pPr>
        <w:spacing w:line="28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3DAD72" w14:textId="77777777" w:rsidR="00CF2C1C" w:rsidRPr="00CF3B49" w:rsidRDefault="00CF2C1C" w:rsidP="00F87D55">
      <w:pPr>
        <w:spacing w:line="28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33B454" w14:textId="769F9346" w:rsidR="006A7941" w:rsidRPr="00CF3B49" w:rsidRDefault="006A7941" w:rsidP="00F87D55">
      <w:pPr>
        <w:spacing w:line="280" w:lineRule="atLeast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uzavřeli níže uvedeného dne, měsíce a roku v souladu s ustanovením § 1746 odst.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2 zák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>ona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 č. 89/2012 Sb., občansk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>ý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zákoník</w:t>
      </w:r>
      <w:r w:rsidR="00CF2C1C" w:rsidRPr="00CF3B49">
        <w:rPr>
          <w:rFonts w:ascii="Arial" w:eastAsia="Times New Roman" w:hAnsi="Arial" w:cs="Arial"/>
          <w:sz w:val="20"/>
          <w:szCs w:val="20"/>
          <w:lang w:eastAsia="cs-CZ"/>
        </w:rPr>
        <w:t>, v platném znění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a za podmínek dále uvedených, tuto </w:t>
      </w:r>
      <w:r w:rsidRPr="00CF3B4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smlouvu o poskytování </w:t>
      </w:r>
      <w:r w:rsidR="00D34524">
        <w:rPr>
          <w:rFonts w:ascii="Arial" w:eastAsia="Times New Roman" w:hAnsi="Arial" w:cs="Arial"/>
          <w:bCs/>
          <w:sz w:val="20"/>
          <w:szCs w:val="20"/>
          <w:lang w:eastAsia="cs-CZ"/>
        </w:rPr>
        <w:t>odborných</w:t>
      </w:r>
      <w:r w:rsidR="00D34524" w:rsidRPr="00CF3B4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CF2C1C" w:rsidRPr="00CF3B49">
        <w:rPr>
          <w:rFonts w:ascii="Arial" w:eastAsia="Times New Roman" w:hAnsi="Arial" w:cs="Arial"/>
          <w:bCs/>
          <w:sz w:val="20"/>
          <w:szCs w:val="20"/>
          <w:lang w:eastAsia="cs-CZ"/>
        </w:rPr>
        <w:t>služeb</w:t>
      </w:r>
      <w:r w:rsidR="004347BC" w:rsidRPr="00CF3B4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(dále jen „</w:t>
      </w:r>
      <w:r w:rsidR="004347BC" w:rsidRPr="00CF3B49">
        <w:rPr>
          <w:rFonts w:ascii="Arial" w:eastAsia="Times New Roman" w:hAnsi="Arial" w:cs="Arial"/>
          <w:b/>
          <w:bCs/>
          <w:i/>
          <w:sz w:val="20"/>
          <w:szCs w:val="20"/>
          <w:lang w:eastAsia="cs-CZ"/>
        </w:rPr>
        <w:t>Smlouva</w:t>
      </w:r>
      <w:r w:rsidR="004347BC" w:rsidRPr="00CF3B49">
        <w:rPr>
          <w:rFonts w:ascii="Arial" w:eastAsia="Times New Roman" w:hAnsi="Arial" w:cs="Arial"/>
          <w:bCs/>
          <w:sz w:val="20"/>
          <w:szCs w:val="20"/>
          <w:lang w:eastAsia="cs-CZ"/>
        </w:rPr>
        <w:t>“)</w:t>
      </w:r>
      <w:r w:rsidR="00CF2C1C" w:rsidRPr="00CF3B49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14:paraId="149999B0" w14:textId="77777777" w:rsidR="00CF2C1C" w:rsidRPr="00CF3B49" w:rsidRDefault="00CF2C1C" w:rsidP="00CF2C1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3A9BDFE" w14:textId="77777777" w:rsidR="00BF0CD4" w:rsidRPr="00CF3B49" w:rsidRDefault="00BF0CD4" w:rsidP="00CF2C1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EAADF1" w14:textId="77777777" w:rsidR="00BF0CD4" w:rsidRPr="00CF3B49" w:rsidRDefault="00BF0CD4" w:rsidP="00CF2C1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1FA2E9" w14:textId="77777777" w:rsidR="00CF2C1C" w:rsidRPr="00CF3B49" w:rsidRDefault="00CF2C1C" w:rsidP="00CF2C1C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Článek 1</w:t>
      </w:r>
    </w:p>
    <w:p w14:paraId="0FB98C82" w14:textId="77777777" w:rsidR="00CF2C1C" w:rsidRPr="00CF3B49" w:rsidRDefault="00CF2C1C" w:rsidP="00CF2C1C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Úvodní ustanovení</w:t>
      </w:r>
    </w:p>
    <w:p w14:paraId="5C5002C2" w14:textId="549FBC87" w:rsidR="001F39CE" w:rsidRPr="00CF3B49" w:rsidRDefault="00CF2C1C" w:rsidP="001F39CE">
      <w:pPr>
        <w:numPr>
          <w:ilvl w:val="1"/>
          <w:numId w:val="1"/>
        </w:numPr>
        <w:tabs>
          <w:tab w:val="clear" w:pos="375"/>
        </w:tabs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Tato Smlouva je uzavírána pro účely projektu s názvem „</w:t>
      </w:r>
      <w:r w:rsidR="00E202CC" w:rsidRPr="00CF3B49">
        <w:rPr>
          <w:rStyle w:val="Siln"/>
          <w:rFonts w:ascii="Arial" w:hAnsi="Arial" w:cs="Arial"/>
          <w:sz w:val="20"/>
          <w:szCs w:val="20"/>
          <w:shd w:val="clear" w:color="auto" w:fill="FFFFFF"/>
        </w:rPr>
        <w:t>Odpovědný přístup k veřejným nákupům – Strategické zadávání veřejných zakázek</w:t>
      </w:r>
      <w:r w:rsidR="00AA7601" w:rsidRPr="00CF3B49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E202C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72997" w:rsidRPr="00CF3B49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="001F39CE" w:rsidRPr="00CF3B49">
        <w:rPr>
          <w:rFonts w:ascii="Arial" w:eastAsia="Times New Roman" w:hAnsi="Arial" w:cs="Arial"/>
          <w:b/>
          <w:i/>
          <w:sz w:val="20"/>
          <w:szCs w:val="20"/>
          <w:lang w:eastAsia="cs-CZ"/>
        </w:rPr>
        <w:t>P</w:t>
      </w:r>
      <w:r w:rsidR="00F12E29" w:rsidRPr="00CF3B49">
        <w:rPr>
          <w:rFonts w:ascii="Arial" w:eastAsia="Times New Roman" w:hAnsi="Arial" w:cs="Arial"/>
          <w:b/>
          <w:i/>
          <w:sz w:val="20"/>
          <w:szCs w:val="20"/>
          <w:lang w:eastAsia="cs-CZ"/>
        </w:rPr>
        <w:t>rojekt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, který je zaměřen na </w:t>
      </w:r>
      <w:r w:rsidR="00E202CC" w:rsidRPr="00CF3B49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implementaci strategického přístupu k veřejným nákupům, tedy na systémové uplatňování pravidel odpovědného veřejného zadávání a propojení priorit a cílů konkrétního zadavatele s jím investovanými prostředky do veřejných zakázek</w:t>
      </w:r>
      <w:r w:rsidR="004D4A8F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486BAC6" w14:textId="62E1CE4D" w:rsidR="001F39CE" w:rsidRPr="00CF3B49" w:rsidRDefault="004A5F53" w:rsidP="001F39CE">
      <w:pPr>
        <w:numPr>
          <w:ilvl w:val="1"/>
          <w:numId w:val="1"/>
        </w:numPr>
        <w:tabs>
          <w:tab w:val="clear" w:pos="375"/>
        </w:tabs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1F39CE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prohlašuje, že před uzavřením této Smlouvy přezkoumal a prověřil možnosti a podmínky poskytnutí plnění dle této Smlouvy a potvrzuje, že jej lze za odměnu a stanovených podmínek poskytnout tak, aby plnilo Objednatelem požadovaný účel</w:t>
      </w:r>
      <w:r w:rsidR="004D4A8F" w:rsidRPr="00CF3B4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FB7FFCB" w14:textId="77777777" w:rsidR="006A7941" w:rsidRPr="00CF3B49" w:rsidRDefault="006A7941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10DCDBA0" w14:textId="77777777" w:rsidR="006D3245" w:rsidRPr="00CF3B49" w:rsidRDefault="006D3245" w:rsidP="006A7941">
      <w:pPr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03E24A8B" w14:textId="77777777" w:rsidR="006A7941" w:rsidRPr="00CF3B49" w:rsidRDefault="00CF2C1C" w:rsidP="00CF2C1C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Článek 2</w:t>
      </w:r>
    </w:p>
    <w:p w14:paraId="1B525991" w14:textId="77777777" w:rsidR="006A7941" w:rsidRPr="00CF3B49" w:rsidRDefault="00CF2C1C" w:rsidP="00CF2C1C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Předmět S</w:t>
      </w:r>
      <w:r w:rsidR="006A7941"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mlouvy</w:t>
      </w:r>
    </w:p>
    <w:p w14:paraId="4142C374" w14:textId="09DB61C5" w:rsidR="00CF2C1C" w:rsidRPr="00CF3B49" w:rsidRDefault="004347BC" w:rsidP="001F39CE">
      <w:pPr>
        <w:numPr>
          <w:ilvl w:val="1"/>
          <w:numId w:val="6"/>
        </w:numPr>
        <w:spacing w:before="12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Předmětem</w:t>
      </w:r>
      <w:r w:rsidR="00E0314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této Smlouvy je závazek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="004A5F5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poskytovat O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odborné</w:t>
      </w:r>
      <w:r w:rsidR="004A5F5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služby v souladu a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za podmínek uved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ených v této Smlouvě a závazek O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bjednatele za řádně p</w:t>
      </w:r>
      <w:r w:rsidR="00E03143" w:rsidRPr="00CF3B49">
        <w:rPr>
          <w:rFonts w:ascii="Arial" w:eastAsia="Times New Roman" w:hAnsi="Arial" w:cs="Arial"/>
          <w:sz w:val="20"/>
          <w:szCs w:val="20"/>
          <w:lang w:eastAsia="cs-CZ"/>
        </w:rPr>
        <w:t>oskytnuté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odborné</w:t>
      </w:r>
      <w:r w:rsidR="004A5F5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0314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služby 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zaplatit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Poskytovateli</w:t>
      </w:r>
      <w:r w:rsidR="004A5F5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F39CE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odměnu v souladu s čl. </w:t>
      </w:r>
      <w:r w:rsidR="00BF0CD4" w:rsidRPr="00CF3B49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této</w:t>
      </w:r>
      <w:r w:rsidR="000B587B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CF3B4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DEE477" w14:textId="679607ED" w:rsidR="004D4A8F" w:rsidRPr="00CF3B49" w:rsidRDefault="004A5F53" w:rsidP="00BF0CD4">
      <w:pPr>
        <w:numPr>
          <w:ilvl w:val="1"/>
          <w:numId w:val="6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se 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dle této 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mlouvy zavazuje 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osobně 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poskytovat pro O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bjednatele na základě jeho pokynů </w:t>
      </w:r>
      <w:r>
        <w:rPr>
          <w:rFonts w:ascii="Arial" w:eastAsia="Times New Roman" w:hAnsi="Arial" w:cs="Arial"/>
          <w:sz w:val="20"/>
          <w:szCs w:val="20"/>
          <w:lang w:eastAsia="cs-CZ"/>
        </w:rPr>
        <w:t>odborné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15482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služby </w:t>
      </w:r>
      <w:r w:rsidR="00060BEB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při řešení ekologických a sociálních otázek v úklidových službách zadávaných zadavateli ve smyslu § 4 zákona č. </w:t>
      </w:r>
      <w:r w:rsidR="00215482" w:rsidRPr="00CF3B49">
        <w:rPr>
          <w:rFonts w:ascii="Arial" w:eastAsia="Times New Roman" w:hAnsi="Arial" w:cs="Arial"/>
          <w:sz w:val="20"/>
          <w:szCs w:val="20"/>
          <w:lang w:eastAsia="cs-CZ"/>
        </w:rPr>
        <w:t>134/2016 o zadávání veřejných zakázek</w:t>
      </w:r>
      <w:r w:rsidR="00060BEB" w:rsidRPr="00CF3B49">
        <w:rPr>
          <w:rFonts w:ascii="Arial" w:eastAsia="Times New Roman" w:hAnsi="Arial" w:cs="Arial"/>
          <w:sz w:val="20"/>
          <w:szCs w:val="20"/>
          <w:lang w:eastAsia="cs-CZ"/>
        </w:rPr>
        <w:t>, a to v podobě výstupů blíže definovaných v</w:t>
      </w:r>
      <w:r w:rsidR="00080CB3" w:rsidRPr="00CF3B4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060BEB" w:rsidRPr="00CF3B49">
        <w:rPr>
          <w:rFonts w:ascii="Arial" w:eastAsia="Times New Roman" w:hAnsi="Arial" w:cs="Arial"/>
          <w:sz w:val="20"/>
          <w:szCs w:val="20"/>
          <w:lang w:eastAsia="cs-CZ"/>
        </w:rPr>
        <w:t>příloze</w:t>
      </w:r>
      <w:r w:rsidR="00080CB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č. 1</w:t>
      </w:r>
      <w:r w:rsidR="00060BEB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této Smlouvy</w:t>
      </w:r>
      <w:r w:rsidR="004D4A8F" w:rsidRPr="00CF3B4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A46D2AF" w14:textId="77777777" w:rsidR="0054319C" w:rsidRPr="00CF3B49" w:rsidRDefault="0054319C" w:rsidP="00BF0CD4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7386390E" w14:textId="644871E9" w:rsidR="00BF0CD4" w:rsidRPr="00CF3B49" w:rsidRDefault="00BF0CD4" w:rsidP="00BF0CD4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Článek 3</w:t>
      </w:r>
    </w:p>
    <w:p w14:paraId="7F47C42B" w14:textId="77777777" w:rsidR="00BF0CD4" w:rsidRPr="00CF3B49" w:rsidRDefault="00BF0CD4" w:rsidP="00BF0CD4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Práva a povinnosti Smluvních stran</w:t>
      </w:r>
    </w:p>
    <w:p w14:paraId="7F3DB003" w14:textId="6B2C4238" w:rsidR="00F12E29" w:rsidRPr="00CF3B49" w:rsidRDefault="004A5F53" w:rsidP="00BF0CD4">
      <w:pPr>
        <w:numPr>
          <w:ilvl w:val="1"/>
          <w:numId w:val="7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se zavazuje dle pokynů O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poskytovat </w:t>
      </w:r>
      <w:r w:rsidR="00D34524">
        <w:rPr>
          <w:rFonts w:ascii="Arial" w:eastAsia="Times New Roman" w:hAnsi="Arial" w:cs="Arial"/>
          <w:sz w:val="20"/>
          <w:szCs w:val="20"/>
          <w:lang w:eastAsia="cs-CZ"/>
        </w:rPr>
        <w:t xml:space="preserve">odborné </w:t>
      </w:r>
      <w:r w:rsidR="00132414" w:rsidRPr="00CF3B49">
        <w:rPr>
          <w:rFonts w:ascii="Arial" w:eastAsia="Times New Roman" w:hAnsi="Arial" w:cs="Arial"/>
          <w:sz w:val="20"/>
          <w:szCs w:val="20"/>
          <w:lang w:eastAsia="cs-CZ"/>
        </w:rPr>
        <w:t>služby</w:t>
      </w:r>
      <w:r w:rsidR="00322437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215482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včetně </w:t>
      </w:r>
      <w:r w:rsidR="00322437" w:rsidRPr="00CF3B49">
        <w:rPr>
          <w:rFonts w:ascii="Arial" w:eastAsia="Times New Roman" w:hAnsi="Arial" w:cs="Arial"/>
          <w:sz w:val="20"/>
          <w:szCs w:val="20"/>
          <w:lang w:eastAsia="cs-CZ"/>
        </w:rPr>
        <w:t>účast</w:t>
      </w:r>
      <w:r w:rsidR="00215482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i na </w:t>
      </w:r>
      <w:r w:rsidR="0054319C" w:rsidRPr="00CF3B49">
        <w:rPr>
          <w:rFonts w:ascii="Arial" w:eastAsia="Times New Roman" w:hAnsi="Arial" w:cs="Arial"/>
          <w:sz w:val="20"/>
          <w:szCs w:val="20"/>
          <w:lang w:eastAsia="cs-CZ"/>
        </w:rPr>
        <w:t>dojednaných aktivit</w:t>
      </w:r>
      <w:r w:rsidR="00215482" w:rsidRPr="00CF3B49">
        <w:rPr>
          <w:rFonts w:ascii="Arial" w:eastAsia="Times New Roman" w:hAnsi="Arial" w:cs="Arial"/>
          <w:sz w:val="20"/>
          <w:szCs w:val="20"/>
          <w:lang w:eastAsia="cs-CZ"/>
        </w:rPr>
        <w:t>ách a</w:t>
      </w:r>
      <w:r w:rsidR="00322437" w:rsidRPr="00CF3B4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>předáv</w:t>
      </w:r>
      <w:r w:rsidR="00215482" w:rsidRPr="00CF3B49">
        <w:rPr>
          <w:rFonts w:ascii="Arial" w:eastAsia="Times New Roman" w:hAnsi="Arial" w:cs="Arial"/>
          <w:sz w:val="20"/>
          <w:szCs w:val="20"/>
          <w:lang w:eastAsia="cs-CZ"/>
        </w:rPr>
        <w:t>ání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jednotliv</w:t>
      </w:r>
      <w:r w:rsidR="00215482" w:rsidRPr="00CF3B49">
        <w:rPr>
          <w:rFonts w:ascii="Arial" w:eastAsia="Times New Roman" w:hAnsi="Arial" w:cs="Arial"/>
          <w:sz w:val="20"/>
          <w:szCs w:val="20"/>
          <w:lang w:eastAsia="cs-CZ"/>
        </w:rPr>
        <w:t>ých výstupů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v dohodnutých termínech 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Objednatelem určené osobě</w:t>
      </w:r>
      <w:r w:rsidR="0054319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a to </w:t>
      </w:r>
      <w:r w:rsidR="008617A5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zejm. 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>v elektronické podobě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C964FCF" w14:textId="1D1466C4" w:rsidR="00F12E29" w:rsidRPr="00CF3B49" w:rsidRDefault="004A5F53" w:rsidP="00BF0CD4">
      <w:pPr>
        <w:numPr>
          <w:ilvl w:val="1"/>
          <w:numId w:val="7"/>
        </w:numPr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se zavazuje poskytovat </w:t>
      </w:r>
      <w:r>
        <w:rPr>
          <w:rFonts w:ascii="Arial" w:eastAsia="Times New Roman" w:hAnsi="Arial" w:cs="Arial"/>
          <w:sz w:val="20"/>
          <w:szCs w:val="20"/>
          <w:lang w:eastAsia="cs-CZ"/>
        </w:rPr>
        <w:t>odborné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>služby dle této Smlouvy svědomitě, s řádnou a odbornou péčí a potřebnými odbornými schopnostmi a znalostmi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a osobně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. Při 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poskytování </w:t>
      </w:r>
      <w:r>
        <w:rPr>
          <w:rFonts w:ascii="Arial" w:eastAsia="Times New Roman" w:hAnsi="Arial" w:cs="Arial"/>
          <w:sz w:val="20"/>
          <w:szCs w:val="20"/>
          <w:lang w:eastAsia="cs-CZ"/>
        </w:rPr>
        <w:t>odborných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služeb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dle této Smlouvy 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vázán platnými a účinnými právními předpisy a pokyny 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bjednatele, pokud tyto nejsou v rozporu s těmito 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předpisy nebo oprávněnými zájmy O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="004347BC" w:rsidRPr="00CF3B49">
        <w:rPr>
          <w:rFonts w:ascii="Arial" w:hAnsi="Arial" w:cs="Arial"/>
          <w:sz w:val="20"/>
          <w:szCs w:val="20"/>
        </w:rPr>
        <w:t>.</w:t>
      </w:r>
    </w:p>
    <w:p w14:paraId="2D80A79E" w14:textId="7C9A09AC" w:rsidR="00F12E29" w:rsidRPr="00CF3B49" w:rsidRDefault="004A5F53" w:rsidP="00BF0CD4">
      <w:pPr>
        <w:numPr>
          <w:ilvl w:val="1"/>
          <w:numId w:val="7"/>
        </w:numPr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se zavazuje při poskytování </w:t>
      </w:r>
      <w:r>
        <w:rPr>
          <w:rFonts w:ascii="Arial" w:eastAsia="Times New Roman" w:hAnsi="Arial" w:cs="Arial"/>
          <w:sz w:val="20"/>
          <w:szCs w:val="20"/>
          <w:lang w:eastAsia="cs-CZ"/>
        </w:rPr>
        <w:t>odborných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služeb dle této 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Smlouvy včas písemně upozornit O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>bjednatele na zřejmou nevhodnost jeho pokynů, jejichž následkem může vzniknout škoda či jiná újma nebo nesoulad s platnými a úči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nnými právními předpisy. Pokud O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>bjednatel navzdory tomuto upozornění</w:t>
      </w:r>
      <w:r w:rsidR="00E0314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trvá na svých pokynech,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>neodpovídá za jakoukoli škodu či jinou újmu způsobenou jeho jedná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ním na základě takových pokynů O</w:t>
      </w:r>
      <w:r w:rsidR="004347B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bjednatele. </w:t>
      </w:r>
    </w:p>
    <w:p w14:paraId="3BAB3622" w14:textId="3C71FA01" w:rsidR="00F12E29" w:rsidRPr="00CF3B49" w:rsidRDefault="00F12E29" w:rsidP="00BF0CD4">
      <w:pPr>
        <w:numPr>
          <w:ilvl w:val="1"/>
          <w:numId w:val="7"/>
        </w:numPr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Smluvní strany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se zavazují vzájemně se informovat o všech okolnostech důležitých pro řádné a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včasné poskytování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odborných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>služeb dle této Smlouvy a poskytovat si za tímto účelem nezbytnou součinnost.</w:t>
      </w:r>
    </w:p>
    <w:p w14:paraId="3248991C" w14:textId="7D69EBBB" w:rsidR="00F12E29" w:rsidRPr="00CF3B49" w:rsidRDefault="004A5F53" w:rsidP="00BF0CD4">
      <w:pPr>
        <w:numPr>
          <w:ilvl w:val="1"/>
          <w:numId w:val="7"/>
        </w:numPr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se zavazuje zachovávat mlčenlivost o všech skutečnostech, o kterých se dozví v souvislosti s poskytováním </w:t>
      </w:r>
      <w:r>
        <w:rPr>
          <w:rFonts w:ascii="Arial" w:eastAsia="Times New Roman" w:hAnsi="Arial" w:cs="Arial"/>
          <w:sz w:val="20"/>
          <w:szCs w:val="20"/>
          <w:lang w:eastAsia="cs-CZ"/>
        </w:rPr>
        <w:t>odborných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>služeb dle této Smlouvy</w:t>
      </w:r>
      <w:r w:rsidR="00C56F33" w:rsidRPr="00CF3B49">
        <w:rPr>
          <w:rFonts w:ascii="Arial" w:eastAsia="Times New Roman" w:hAnsi="Arial" w:cs="Arial"/>
          <w:sz w:val="20"/>
          <w:szCs w:val="20"/>
          <w:lang w:eastAsia="cs-CZ"/>
        </w:rPr>
        <w:t>, a to i po ukončení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smluvního vztahu založeného na základě</w:t>
      </w:r>
      <w:r w:rsidR="00C56F3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této Smlouvy.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6268A16" w14:textId="259AB26E" w:rsidR="00BF0506" w:rsidRPr="00CF3B49" w:rsidRDefault="004A5F53" w:rsidP="00BF0CD4">
      <w:pPr>
        <w:numPr>
          <w:ilvl w:val="1"/>
          <w:numId w:val="7"/>
        </w:numPr>
        <w:spacing w:before="120" w:line="280" w:lineRule="atLeast"/>
        <w:ind w:left="374" w:hanging="37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prohlašuje, že 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>bere na vědomí, že v rámci poskytován</w:t>
      </w:r>
      <w:r w:rsidR="00C56F33" w:rsidRPr="00CF3B49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odborných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32414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služeb 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>dle této Smlouvy může být nakládáno s osobními údaji osob a zavazuje se nakládat s takovými údaji v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>souladu se zákonem č.1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>/20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>19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Sb., o 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>zpracování osobních údajů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>, ve</w:t>
      </w:r>
      <w:r w:rsidR="00F12E29" w:rsidRPr="00CF3B4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>znění pozdějších předpisů.</w:t>
      </w:r>
    </w:p>
    <w:p w14:paraId="2F8C2956" w14:textId="593A2E2E" w:rsidR="00BF0CD4" w:rsidRPr="00CF3B49" w:rsidRDefault="004A5F53" w:rsidP="00BF0CD4">
      <w:pPr>
        <w:numPr>
          <w:ilvl w:val="1"/>
          <w:numId w:val="7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BF0CD4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je dle zákona č. 320/2001 Sb., o finanční kontrole ve veřejné správě a o změně některých zákonů, ve znění pozdějších předpisů, osobou povinnou spolupůsobit při výkonu finanční kontroly prováděné v souvislosti s placením zboží nebo služeb z veřejných výdajů.</w:t>
      </w:r>
    </w:p>
    <w:p w14:paraId="2F1A9CB0" w14:textId="280A6EB5" w:rsidR="00BF0CD4" w:rsidRPr="00CF3B49" w:rsidRDefault="004A5F53" w:rsidP="00BF0CD4">
      <w:pPr>
        <w:numPr>
          <w:ilvl w:val="1"/>
          <w:numId w:val="7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BF0CD4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je povinen umožnit osobám oprávněným k výkonu kontroly provést kontrolu dokladů souvisejících s poskytováním plnění dle této Smlouvy (tj. originálního vyhotovení Smlouvy včetně jejich dodatků, originálů faktur a dalších dokladů vztahujících se k poskytování plnění dle této </w:t>
      </w:r>
      <w:r w:rsidR="00BF0CD4" w:rsidRPr="00CF3B49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Smlouvy), a to po dobu danou platnými a účinnými právními předpisy k jejich archivaci (zákon č. 563/1991 Sb., o účetnictví, ve znění pozdějších předpisů a zákon č. 235/2004 Sb., o dani z přidané hodnoty, ve znění pozdějších předpisů), minimálně však do roku 2027.</w:t>
      </w:r>
    </w:p>
    <w:p w14:paraId="2AF9DA9D" w14:textId="77777777" w:rsidR="006D3245" w:rsidRPr="00CF3B49" w:rsidRDefault="006D3245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E44883C" w14:textId="77777777" w:rsidR="006A7941" w:rsidRPr="00CF3B49" w:rsidRDefault="001F39CE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Článek </w:t>
      </w:r>
      <w:r w:rsidR="00BF0CD4"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4</w:t>
      </w:r>
    </w:p>
    <w:p w14:paraId="362B3F69" w14:textId="3345E0FC" w:rsidR="006A7941" w:rsidRPr="00CF3B49" w:rsidRDefault="0076342B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Odměna</w:t>
      </w:r>
      <w:r w:rsidR="001F39CE"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4A5F5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Poskytovatele</w:t>
      </w:r>
      <w:r w:rsidR="001F39CE"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, platební podmínky</w:t>
      </w:r>
    </w:p>
    <w:p w14:paraId="342C8247" w14:textId="5AE75FAE" w:rsidR="001F39CE" w:rsidRPr="00CF3B49" w:rsidRDefault="00BF0506" w:rsidP="00632DC1">
      <w:pPr>
        <w:numPr>
          <w:ilvl w:val="1"/>
          <w:numId w:val="4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sjednávají, že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Poskytovateli</w:t>
      </w:r>
      <w:r w:rsidR="004A5F5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řádně poskytnuté</w:t>
      </w:r>
      <w:r w:rsidR="001F39CE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 xml:space="preserve">odborné 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>služby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této Smlouvy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náleží odměna 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>v celkové částce 65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000 Kč bez DPH. Odměna bude 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 xml:space="preserve">Objednatelem 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vyplácena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Poskytovateli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po částech, vždy po předání konkrétního výstupu dle přílohy č. </w:t>
      </w:r>
      <w:r w:rsidR="00080CB3" w:rsidRPr="00CF3B49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  <w:r w:rsidR="0019296E" w:rsidRPr="00CF3B49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>mlouvy</w:t>
      </w:r>
      <w:r w:rsidR="0019296E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 xml:space="preserve">Objednatelem určené </w:t>
      </w:r>
      <w:r w:rsidR="0019296E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osobě 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 xml:space="preserve">uvedené v </w:t>
      </w:r>
      <w:r w:rsidR="0019296E" w:rsidRPr="00CF3B49">
        <w:rPr>
          <w:rFonts w:ascii="Arial" w:eastAsia="Times New Roman" w:hAnsi="Arial" w:cs="Arial"/>
          <w:sz w:val="20"/>
          <w:szCs w:val="20"/>
          <w:lang w:eastAsia="cs-CZ"/>
        </w:rPr>
        <w:t>odst. 3.1 této Smlouvy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 xml:space="preserve">po 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odsouhlasení 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 xml:space="preserve">a podpisu </w:t>
      </w:r>
      <w:r w:rsidR="0019296E" w:rsidRPr="00CF3B49">
        <w:rPr>
          <w:rFonts w:ascii="Arial" w:eastAsia="Times New Roman" w:hAnsi="Arial" w:cs="Arial"/>
          <w:sz w:val="20"/>
          <w:szCs w:val="20"/>
          <w:lang w:eastAsia="cs-CZ"/>
        </w:rPr>
        <w:t>předávacího protokolu k tomu za Objednatele oprávněnou osobou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 xml:space="preserve">, jíž je </w:t>
      </w:r>
      <w:r w:rsidR="0019296E" w:rsidRPr="00CF3B49">
        <w:rPr>
          <w:rFonts w:ascii="Arial" w:eastAsia="Times New Roman" w:hAnsi="Arial" w:cs="Arial"/>
          <w:sz w:val="20"/>
          <w:szCs w:val="20"/>
          <w:lang w:eastAsia="cs-CZ"/>
        </w:rPr>
        <w:t>Mgr. Marie Janečková (marie.janeckova@mpsv.cz)</w:t>
      </w:r>
      <w:r w:rsidR="00AD70F4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. Výše odměny za jednotlivé výstupy je stanovena v 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>přílo</w:t>
      </w:r>
      <w:r w:rsidR="00AD70F4" w:rsidRPr="00CF3B49">
        <w:rPr>
          <w:rFonts w:ascii="Arial" w:eastAsia="Times New Roman" w:hAnsi="Arial" w:cs="Arial"/>
          <w:sz w:val="20"/>
          <w:szCs w:val="20"/>
          <w:lang w:eastAsia="cs-CZ"/>
        </w:rPr>
        <w:t>ze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080CB3" w:rsidRPr="00CF3B49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této Smlouvy.</w:t>
      </w:r>
      <w:r w:rsidR="00AD70F4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Za neposkytnuté části plnění odměna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Poskytovateli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D70F4" w:rsidRPr="00CF3B49">
        <w:rPr>
          <w:rFonts w:ascii="Arial" w:eastAsia="Times New Roman" w:hAnsi="Arial" w:cs="Arial"/>
          <w:sz w:val="20"/>
          <w:szCs w:val="20"/>
          <w:lang w:eastAsia="cs-CZ"/>
        </w:rPr>
        <w:t>nenáleží.</w:t>
      </w:r>
    </w:p>
    <w:p w14:paraId="2A8E9D2F" w14:textId="2A13C710" w:rsidR="001F39CE" w:rsidRPr="00CF3B49" w:rsidRDefault="001F39CE" w:rsidP="00B74D53">
      <w:pPr>
        <w:numPr>
          <w:ilvl w:val="1"/>
          <w:numId w:val="4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Odměna bude Objednatelem zaplacena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na základě daňového či účetního dokladu („</w:t>
      </w:r>
      <w:r w:rsidR="00BF0506" w:rsidRPr="00CF3B49">
        <w:rPr>
          <w:rFonts w:ascii="Arial" w:eastAsia="Times New Roman" w:hAnsi="Arial" w:cs="Arial"/>
          <w:b/>
          <w:i/>
          <w:sz w:val="20"/>
          <w:szCs w:val="20"/>
          <w:lang w:eastAsia="cs-CZ"/>
        </w:rPr>
        <w:t>fakt</w:t>
      </w:r>
      <w:r w:rsidR="0076342B" w:rsidRPr="00CF3B49">
        <w:rPr>
          <w:rFonts w:ascii="Arial" w:eastAsia="Times New Roman" w:hAnsi="Arial" w:cs="Arial"/>
          <w:b/>
          <w:i/>
          <w:sz w:val="20"/>
          <w:szCs w:val="20"/>
          <w:lang w:eastAsia="cs-CZ"/>
        </w:rPr>
        <w:t>ura</w:t>
      </w:r>
      <w:r w:rsidR="0076342B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“) řádně vystaveného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Poskytovatelem</w:t>
      </w:r>
      <w:r w:rsidR="00BF0506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AB751C" w:rsidRPr="00CF3B49">
        <w:rPr>
          <w:rFonts w:ascii="Arial" w:eastAsia="Times New Roman" w:hAnsi="Arial" w:cs="Arial"/>
          <w:sz w:val="20"/>
          <w:szCs w:val="20"/>
          <w:lang w:eastAsia="cs-CZ"/>
        </w:rPr>
        <w:t>Jako n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edílnou přílohu vystavené faktury </w:t>
      </w:r>
      <w:r w:rsidR="0076342B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4A5F5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6342B" w:rsidRPr="00CF3B49">
        <w:rPr>
          <w:rFonts w:ascii="Arial" w:eastAsia="Times New Roman" w:hAnsi="Arial" w:cs="Arial"/>
          <w:sz w:val="20"/>
          <w:szCs w:val="20"/>
          <w:lang w:eastAsia="cs-CZ"/>
        </w:rPr>
        <w:t>povin</w:t>
      </w:r>
      <w:r w:rsidR="00106FA8" w:rsidRPr="00CF3B49">
        <w:rPr>
          <w:rFonts w:ascii="Arial" w:eastAsia="Times New Roman" w:hAnsi="Arial" w:cs="Arial"/>
          <w:sz w:val="20"/>
          <w:szCs w:val="20"/>
          <w:lang w:eastAsia="cs-CZ"/>
        </w:rPr>
        <w:t>en</w:t>
      </w:r>
      <w:r w:rsidR="00AB751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předložit </w:t>
      </w:r>
      <w:r w:rsidR="0019296E" w:rsidRPr="00CF3B49">
        <w:rPr>
          <w:rFonts w:ascii="Arial" w:eastAsia="Times New Roman" w:hAnsi="Arial" w:cs="Arial"/>
          <w:sz w:val="20"/>
          <w:szCs w:val="20"/>
          <w:lang w:eastAsia="cs-CZ"/>
        </w:rPr>
        <w:t>předávací protokol</w:t>
      </w:r>
      <w:r w:rsidR="00C214F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ve vztahu k předaným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odborným</w:t>
      </w:r>
      <w:r w:rsidR="009C573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>služb</w:t>
      </w:r>
      <w:r w:rsidR="00C214F9" w:rsidRPr="00CF3B49">
        <w:rPr>
          <w:rFonts w:ascii="Arial" w:eastAsia="Times New Roman" w:hAnsi="Arial" w:cs="Arial"/>
          <w:sz w:val="20"/>
          <w:szCs w:val="20"/>
          <w:lang w:eastAsia="cs-CZ"/>
        </w:rPr>
        <w:t>ám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odsouhlasený 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 xml:space="preserve">a podepsaný oprávněnou </w:t>
      </w:r>
      <w:r w:rsidR="00120931" w:rsidRPr="00CF3B49">
        <w:rPr>
          <w:rFonts w:ascii="Arial" w:eastAsia="Times New Roman" w:hAnsi="Arial" w:cs="Arial"/>
          <w:sz w:val="20"/>
          <w:szCs w:val="20"/>
          <w:lang w:eastAsia="cs-CZ"/>
        </w:rPr>
        <w:t>osobou Objednatele</w:t>
      </w:r>
      <w:r w:rsidR="00AA760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>uvedenou v</w:t>
      </w:r>
      <w:r w:rsidR="00AA760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odst. </w:t>
      </w:r>
      <w:r w:rsidR="00C214F9" w:rsidRPr="00CF3B49">
        <w:rPr>
          <w:rFonts w:ascii="Arial" w:eastAsia="Times New Roman" w:hAnsi="Arial" w:cs="Arial"/>
          <w:sz w:val="20"/>
          <w:szCs w:val="20"/>
          <w:lang w:eastAsia="cs-CZ"/>
        </w:rPr>
        <w:t>4.1</w:t>
      </w:r>
      <w:r w:rsidR="00AA760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této Smlouvy</w:t>
      </w:r>
      <w:r w:rsidR="00B74D53" w:rsidRPr="00CF3B4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C30E12D" w14:textId="171D430D" w:rsidR="001F39CE" w:rsidRPr="00CF3B49" w:rsidRDefault="001F39CE" w:rsidP="007649C6">
      <w:pPr>
        <w:numPr>
          <w:ilvl w:val="1"/>
          <w:numId w:val="4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Smluvní strany sjednávají, že splatnost faktur činí</w:t>
      </w:r>
      <w:r w:rsidR="00AB751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30 </w:t>
      </w:r>
      <w:r w:rsidR="00AB751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kalendářních 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dnů </w:t>
      </w:r>
      <w:r w:rsidR="00AB751C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a počíná běžet dnem 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následujícím po dni, kdy 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 xml:space="preserve">faktura 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byla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>bjednateli</w:t>
      </w:r>
      <w:r w:rsidR="00325902" w:rsidRPr="00CF3B49" w:rsidDel="0032590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B751C" w:rsidRPr="00CF3B49">
        <w:rPr>
          <w:rFonts w:ascii="Arial" w:eastAsia="Times New Roman" w:hAnsi="Arial" w:cs="Arial"/>
          <w:sz w:val="20"/>
          <w:szCs w:val="20"/>
          <w:lang w:eastAsia="cs-CZ"/>
        </w:rPr>
        <w:t>prokazateln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doručen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do jeho sídla</w:t>
      </w:r>
      <w:r w:rsidR="006A7941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7649C6" w:rsidRPr="00CF3B49">
        <w:rPr>
          <w:rFonts w:ascii="Arial" w:eastAsia="Times New Roman" w:hAnsi="Arial" w:cs="Arial"/>
          <w:sz w:val="20"/>
          <w:szCs w:val="20"/>
          <w:lang w:eastAsia="cs-CZ"/>
        </w:rPr>
        <w:t>Splatnost faktur doručených Objednateli od 11. prosince do 31. ledna následujícího roku bude prodloužena až na 90 kalendářních dnů, a to v souvislosti s procesem schvalování státního rozpočtu.</w:t>
      </w:r>
    </w:p>
    <w:p w14:paraId="3A3B51AA" w14:textId="12B024E2" w:rsidR="001F39CE" w:rsidRPr="00CF3B49" w:rsidRDefault="006A7941" w:rsidP="001F39CE">
      <w:pPr>
        <w:numPr>
          <w:ilvl w:val="1"/>
          <w:numId w:val="4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Odměna bude poukazová</w:t>
      </w:r>
      <w:r w:rsidR="0076342B" w:rsidRPr="00CF3B49">
        <w:rPr>
          <w:rFonts w:ascii="Arial" w:eastAsia="Times New Roman" w:hAnsi="Arial" w:cs="Arial"/>
          <w:sz w:val="20"/>
          <w:szCs w:val="20"/>
          <w:lang w:eastAsia="cs-CZ"/>
        </w:rPr>
        <w:t>na bezhotovostně na účet</w:t>
      </w:r>
      <w:r w:rsidR="001F39CE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="004A5F5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B751C" w:rsidRPr="00CF3B49">
        <w:rPr>
          <w:rFonts w:ascii="Arial" w:eastAsia="Times New Roman" w:hAnsi="Arial" w:cs="Arial"/>
          <w:sz w:val="20"/>
          <w:szCs w:val="20"/>
          <w:lang w:eastAsia="cs-CZ"/>
        </w:rPr>
        <w:t>uvedený v 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>záhlaví</w:t>
      </w:r>
      <w:r w:rsidR="00131F80" w:rsidRPr="00CF3B4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AB751C" w:rsidRPr="00CF3B49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mlouv</w:t>
      </w:r>
      <w:r w:rsidR="00AB751C" w:rsidRPr="00CF3B49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1F39CE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. Faktura se považuje za zaplacenou okamžikem odepsání příslušné částky z účtu Objednatele ve prospěch účtu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="001F39CE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. Platby budou probíhat </w:t>
      </w:r>
      <w:r w:rsidR="00754A4B" w:rsidRPr="00CF3B49">
        <w:rPr>
          <w:rFonts w:ascii="Arial" w:eastAsia="Times New Roman" w:hAnsi="Arial" w:cs="Arial"/>
          <w:sz w:val="20"/>
          <w:szCs w:val="20"/>
          <w:lang w:eastAsia="cs-CZ"/>
        </w:rPr>
        <w:t>v </w:t>
      </w:r>
      <w:r w:rsidR="00AD70F4" w:rsidRPr="00CF3B49">
        <w:rPr>
          <w:rFonts w:ascii="Arial" w:eastAsia="Times New Roman" w:hAnsi="Arial" w:cs="Arial"/>
          <w:sz w:val="20"/>
          <w:szCs w:val="20"/>
          <w:lang w:eastAsia="cs-CZ"/>
        </w:rPr>
        <w:t>CZK</w:t>
      </w:r>
      <w:r w:rsidR="00754A4B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F39CE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a rovněž veškeré uvedené cenové údaje budou v </w:t>
      </w:r>
      <w:r w:rsidR="00AD70F4" w:rsidRPr="00CF3B49">
        <w:rPr>
          <w:rFonts w:ascii="Arial" w:eastAsia="Times New Roman" w:hAnsi="Arial" w:cs="Arial"/>
          <w:sz w:val="20"/>
          <w:szCs w:val="20"/>
          <w:lang w:eastAsia="cs-CZ"/>
        </w:rPr>
        <w:t>CZK</w:t>
      </w:r>
      <w:r w:rsidR="001F39CE" w:rsidRPr="00CF3B4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0B8CA31" w14:textId="799EB779" w:rsidR="00B74D53" w:rsidRPr="00CF3B49" w:rsidRDefault="001F39CE" w:rsidP="006A5B11">
      <w:pPr>
        <w:numPr>
          <w:ilvl w:val="1"/>
          <w:numId w:val="4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Faktura musí obsahovat veškeré náležitosti daňového či účetního dokladu podle obecně závazných právních předpisů a musí obsahovat název projektu. Nebude-li faktura obsahovat stanovené náležitosti </w:t>
      </w:r>
      <w:r w:rsidR="00E36F29">
        <w:rPr>
          <w:rFonts w:ascii="Arial" w:eastAsia="Times New Roman" w:hAnsi="Arial" w:cs="Arial"/>
          <w:sz w:val="20"/>
          <w:szCs w:val="20"/>
          <w:lang w:eastAsia="cs-CZ"/>
        </w:rPr>
        <w:t>či nedílné přílohy</w:t>
      </w:r>
      <w:r w:rsidR="00E36F29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nebo v ní nebudou správně uvedené údaje,</w:t>
      </w:r>
      <w:r w:rsidR="00131F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je Objednatel oprávněn vrátit ji ve lhůtě splatnosti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Poskytovateli</w:t>
      </w:r>
      <w:r w:rsidR="004A5F5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s uvedením chybějících náležitostí</w:t>
      </w:r>
      <w:r w:rsidR="00E36F29">
        <w:rPr>
          <w:rFonts w:ascii="Arial" w:eastAsia="Times New Roman" w:hAnsi="Arial" w:cs="Arial"/>
          <w:sz w:val="20"/>
          <w:szCs w:val="20"/>
          <w:lang w:eastAsia="cs-CZ"/>
        </w:rPr>
        <w:t>, nedílných příloh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nebo nesprávných údajů či námitek. V takovém případě se </w:t>
      </w:r>
      <w:proofErr w:type="gramStart"/>
      <w:r w:rsidRPr="00CF3B49">
        <w:rPr>
          <w:rFonts w:ascii="Arial" w:eastAsia="Times New Roman" w:hAnsi="Arial" w:cs="Arial"/>
          <w:sz w:val="20"/>
          <w:szCs w:val="20"/>
          <w:lang w:eastAsia="cs-CZ"/>
        </w:rPr>
        <w:t>ruší</w:t>
      </w:r>
      <w:proofErr w:type="gramEnd"/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doba splatnosti této faktury a nová lhůta splatnosti počíná opětovně běžet prokazatelným doručením opravené faktury Objednateli.</w:t>
      </w:r>
    </w:p>
    <w:p w14:paraId="1C316EB4" w14:textId="77777777" w:rsidR="00B74D53" w:rsidRPr="00CF3B49" w:rsidRDefault="00B74D53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F70AC02" w14:textId="77777777" w:rsidR="006A7941" w:rsidRPr="00CF3B49" w:rsidRDefault="006A7941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Článek </w:t>
      </w:r>
      <w:r w:rsidR="00BF0CD4"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5</w:t>
      </w:r>
    </w:p>
    <w:p w14:paraId="1083A08C" w14:textId="77777777" w:rsidR="00C56F33" w:rsidRPr="00CF3B49" w:rsidRDefault="00C56F33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Sankční ujednání, náhrada škody</w:t>
      </w:r>
    </w:p>
    <w:p w14:paraId="79F612AC" w14:textId="0935267D" w:rsidR="00BF0CD4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6D3245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 případě 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>porušení povinnosti mlčenlivosti či povinnosti zajistit ochranu osobních údajů dle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čl. 3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odst.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3.5 a/nebo 3.6 této Smlouvy se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zavazuje zaplatit Objednateli </w:t>
      </w:r>
      <w:r w:rsidR="006D3245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smluvní pokutu ve výši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="00E36F29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AD70F4" w:rsidRPr="00CF3B49">
        <w:rPr>
          <w:rFonts w:ascii="Arial" w:eastAsia="Times New Roman" w:hAnsi="Arial" w:cs="Arial"/>
          <w:sz w:val="20"/>
          <w:szCs w:val="20"/>
          <w:lang w:eastAsia="cs-CZ"/>
        </w:rPr>
        <w:t>000</w:t>
      </w:r>
      <w:r w:rsidR="00E36F29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  <w:r w:rsidR="00325902" w:rsidRPr="00CF3B49">
        <w:rPr>
          <w:rFonts w:ascii="Arial" w:eastAsia="Times New Roman" w:hAnsi="Arial" w:cs="Arial"/>
          <w:sz w:val="20"/>
          <w:szCs w:val="20"/>
          <w:lang w:eastAsia="cs-CZ"/>
        </w:rPr>
        <w:t>, a to za každý jednotlivý případ porušení povinnosti.</w:t>
      </w:r>
    </w:p>
    <w:p w14:paraId="1B7E9E50" w14:textId="25BF521D" w:rsidR="00E36F29" w:rsidRPr="00CF3B49" w:rsidRDefault="00E36F29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 prodlení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 předložením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konkrétního výstupu dle přílohy č. 1 této Smlouvy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termínu stanoveném Objednatelem, se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zavazuje zaplatit Objednateli smluvní pokutu ve výši 500 Kč, a to za každý jednotlivý výstup a každý započatý den prodlení. </w:t>
      </w:r>
    </w:p>
    <w:p w14:paraId="70373AF4" w14:textId="571233BE" w:rsidR="00BF0CD4" w:rsidRPr="00CF3B49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V případě prodlení Objednatele se zaplacením odměny dle této Smlouvy vzniká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Poskytovateli</w:t>
      </w:r>
      <w:r w:rsidR="004A5F5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</w:t>
      </w:r>
      <w:r w:rsidR="00132414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a evidence svěřenských fondů a evidence údajů o skutečných majitelích. </w:t>
      </w:r>
    </w:p>
    <w:p w14:paraId="11DDA731" w14:textId="7057F1E9" w:rsidR="00BF0CD4" w:rsidRPr="00CF3B49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sjednávají, že v případě vzniku nároku Objednatele na více smluvních pokut uložených </w:t>
      </w:r>
      <w:r w:rsidR="004A5F53">
        <w:rPr>
          <w:rFonts w:ascii="Arial" w:eastAsia="Times New Roman" w:hAnsi="Arial" w:cs="Arial"/>
          <w:sz w:val="20"/>
          <w:szCs w:val="20"/>
          <w:lang w:eastAsia="cs-CZ"/>
        </w:rPr>
        <w:t>Poskytovateli</w:t>
      </w:r>
      <w:r w:rsidR="004A5F53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dle této Smlouvy se takové pokuty sčítají.</w:t>
      </w:r>
    </w:p>
    <w:p w14:paraId="7F63C2B6" w14:textId="77777777" w:rsidR="00BF0CD4" w:rsidRPr="00CF3B49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Není-li v této Smlouvě stanoveno jinak, zaplacení jakékoliv smluvní pokuty nezbavuje povinnou Smluvní stranu povinnosti splnit své závazky a povinnosti vyplývající z této Smlouvy a nedotýká se nároku na náhradu škody či jiné újmy v plné výši.</w:t>
      </w:r>
    </w:p>
    <w:p w14:paraId="3131BDFF" w14:textId="77777777" w:rsidR="00BF0CD4" w:rsidRPr="00CF3B49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>Smluvní strany sjednávají, že smluvní pokuty a nároky na náhradu škody či jiné újmy jsou splatné do 30 kalendářních dnů ode dne, kdy budou oprávněnou Smluvní stranou vůči povinné Smluvní straně uplatněny.</w:t>
      </w:r>
    </w:p>
    <w:p w14:paraId="5C52BF78" w14:textId="78E87B71" w:rsidR="00BF0CD4" w:rsidRPr="00CF3B49" w:rsidRDefault="00BF0CD4" w:rsidP="00BF0CD4">
      <w:pPr>
        <w:numPr>
          <w:ilvl w:val="1"/>
          <w:numId w:val="5"/>
        </w:numPr>
        <w:spacing w:before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sjednávají, že jakoukoliv smluvní pokutu či vzniklou škodu vyjádřitelnou v penězích je </w:t>
      </w:r>
      <w:r w:rsidR="00132414"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Objednatel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 xml:space="preserve">oprávněn jednostranně započíst formou jednostranného zápočtu proti jakékoliv pohledávce (splatné či nesplatné) </w:t>
      </w:r>
      <w:r w:rsidR="00D34524">
        <w:rPr>
          <w:rFonts w:ascii="Arial" w:eastAsia="Times New Roman" w:hAnsi="Arial" w:cs="Arial"/>
          <w:sz w:val="20"/>
          <w:szCs w:val="20"/>
          <w:lang w:eastAsia="cs-CZ"/>
        </w:rPr>
        <w:t xml:space="preserve">Poskytovatele </w:t>
      </w:r>
      <w:r w:rsidRPr="00CF3B49">
        <w:rPr>
          <w:rFonts w:ascii="Arial" w:eastAsia="Times New Roman" w:hAnsi="Arial" w:cs="Arial"/>
          <w:sz w:val="20"/>
          <w:szCs w:val="20"/>
          <w:lang w:eastAsia="cs-CZ"/>
        </w:rPr>
        <w:t>proti Objednateli z titulu zaplacení části odměny dle této Smlouvy.</w:t>
      </w:r>
    </w:p>
    <w:p w14:paraId="6D8844A5" w14:textId="77777777" w:rsidR="00B74D53" w:rsidRPr="00CF3B49" w:rsidRDefault="00B74D53" w:rsidP="00B74D53">
      <w:pPr>
        <w:spacing w:before="120" w:line="280" w:lineRule="atLeast"/>
        <w:ind w:left="37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BE56EB" w14:textId="77777777" w:rsidR="00C56F33" w:rsidRPr="00CF3B49" w:rsidRDefault="00C56F33" w:rsidP="006D3245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4193B47" w14:textId="77777777" w:rsidR="00BF0CD4" w:rsidRPr="00CF3B49" w:rsidRDefault="00BF0CD4" w:rsidP="00BF0CD4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Článek 6</w:t>
      </w:r>
    </w:p>
    <w:p w14:paraId="3703FEB1" w14:textId="77777777" w:rsidR="00BF0CD4" w:rsidRPr="00CF3B49" w:rsidRDefault="00BF0CD4" w:rsidP="00BF0CD4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Doba trvání smluvního vztahu</w:t>
      </w:r>
    </w:p>
    <w:p w14:paraId="2F4E955B" w14:textId="77777777" w:rsidR="00BF0CD4" w:rsidRPr="00CF3B49" w:rsidRDefault="00BF0CD4" w:rsidP="00BF0CD4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>Tato Smlouva je platná dnem jejího podpisu oběma Smluvními stranami. V případě, že k podpisu Smluvními stranami nedojde v jednom dni, nabývá tato Smlouva platnosti dnem, kdy je podepsána poslední Smluvní stranou. Tato Smlouva nabývá účinnosti dnem uveřejnění v</w:t>
      </w:r>
      <w:r w:rsidR="00F87D55" w:rsidRPr="00CF3B49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CF3B49">
        <w:rPr>
          <w:rFonts w:ascii="Arial" w:eastAsia="Times New Roman" w:hAnsi="Arial" w:cs="Arial"/>
          <w:sz w:val="20"/>
          <w:szCs w:val="20"/>
          <w:lang w:eastAsia="ar-SA"/>
        </w:rPr>
        <w:t>registru smluv dle zákona č. 340/2015 Sb., o zvláštních podmínkách účinnosti některých smluv, uveřejňování těchto smluv a o registru smluv, ve znění pozdějších předpisů (dále jako „</w:t>
      </w:r>
      <w:r w:rsidRPr="00CF3B49">
        <w:rPr>
          <w:rFonts w:ascii="Arial" w:eastAsia="Times New Roman" w:hAnsi="Arial" w:cs="Arial"/>
          <w:b/>
          <w:i/>
          <w:sz w:val="20"/>
          <w:szCs w:val="20"/>
          <w:lang w:eastAsia="ar-SA"/>
        </w:rPr>
        <w:t>zákon o registru smluv</w:t>
      </w:r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“). Uveřejnění této Smlouvy v registru smluv zajistí </w:t>
      </w:r>
      <w:r w:rsidR="00F87D55" w:rsidRPr="00CF3B49">
        <w:rPr>
          <w:rFonts w:ascii="Arial" w:eastAsia="Times New Roman" w:hAnsi="Arial" w:cs="Arial"/>
          <w:sz w:val="20"/>
          <w:szCs w:val="20"/>
          <w:lang w:eastAsia="ar-SA"/>
        </w:rPr>
        <w:t>Objednatel</w:t>
      </w:r>
      <w:r w:rsidRPr="00CF3B4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74C4A1B7" w14:textId="2777FA2F" w:rsidR="00F87D55" w:rsidRPr="00CF3B49" w:rsidRDefault="00BF0CD4" w:rsidP="00F87D55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>Tato Smlouva je uzavřena</w:t>
      </w:r>
      <w:r w:rsidR="00132414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87D55" w:rsidRPr="00CF3B49">
        <w:rPr>
          <w:rFonts w:ascii="Arial" w:eastAsia="Times New Roman" w:hAnsi="Arial" w:cs="Arial"/>
          <w:sz w:val="20"/>
          <w:szCs w:val="20"/>
          <w:lang w:eastAsia="ar-SA"/>
        </w:rPr>
        <w:t>do</w:t>
      </w:r>
      <w:r w:rsidR="0054319C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31.5.2023.</w:t>
      </w:r>
    </w:p>
    <w:p w14:paraId="367CEBA2" w14:textId="39F395F3" w:rsidR="00F87D55" w:rsidRPr="00CF3B49" w:rsidRDefault="00F87D55" w:rsidP="00F87D55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>Objednatel</w:t>
      </w:r>
      <w:r w:rsidR="00BF0CD4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si vyhrazuje právo odstoupit o</w:t>
      </w:r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d této Smlouvy v případě, že </w:t>
      </w:r>
      <w:r w:rsidR="00D34524">
        <w:rPr>
          <w:rFonts w:ascii="Arial" w:eastAsia="Times New Roman" w:hAnsi="Arial" w:cs="Arial"/>
          <w:sz w:val="20"/>
          <w:szCs w:val="20"/>
          <w:lang w:eastAsia="ar-SA"/>
        </w:rPr>
        <w:t>Poskytovatel</w:t>
      </w:r>
      <w:r w:rsidR="00D34524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jedná v rozporu s jakýmkoliv závazným právním předpisem či podstatně </w:t>
      </w:r>
      <w:proofErr w:type="gramStart"/>
      <w:r w:rsidRPr="00CF3B49">
        <w:rPr>
          <w:rFonts w:ascii="Arial" w:eastAsia="Times New Roman" w:hAnsi="Arial" w:cs="Arial"/>
          <w:sz w:val="20"/>
          <w:szCs w:val="20"/>
          <w:lang w:eastAsia="ar-SA"/>
        </w:rPr>
        <w:t>poruší</w:t>
      </w:r>
      <w:proofErr w:type="gramEnd"/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pokyny Objednatele</w:t>
      </w:r>
      <w:r w:rsidR="00132414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002DE" w:rsidRPr="00CF3B49">
        <w:rPr>
          <w:rFonts w:ascii="Arial" w:eastAsia="Times New Roman" w:hAnsi="Arial" w:cs="Arial"/>
          <w:sz w:val="20"/>
          <w:szCs w:val="20"/>
          <w:lang w:eastAsia="ar-SA"/>
        </w:rPr>
        <w:t>nebo</w:t>
      </w:r>
      <w:r w:rsidR="00132414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povinnosti stanovené touto Smlouvou. </w:t>
      </w:r>
      <w:bookmarkStart w:id="2" w:name="_Ref360002378"/>
      <w:r w:rsidR="00E36F29">
        <w:rPr>
          <w:rFonts w:ascii="Arial" w:eastAsia="Times New Roman" w:hAnsi="Arial" w:cs="Arial"/>
          <w:sz w:val="20"/>
          <w:szCs w:val="20"/>
          <w:lang w:eastAsia="ar-SA"/>
        </w:rPr>
        <w:t xml:space="preserve">Za podstatné porušení Smlouvy se považuje, nikoli však výlučně, situace, kdy </w:t>
      </w:r>
      <w:r w:rsidR="00D34524">
        <w:rPr>
          <w:rFonts w:ascii="Arial" w:eastAsia="Times New Roman" w:hAnsi="Arial" w:cs="Arial"/>
          <w:sz w:val="20"/>
          <w:szCs w:val="20"/>
          <w:lang w:eastAsia="ar-SA"/>
        </w:rPr>
        <w:t>Poskytovatel</w:t>
      </w:r>
      <w:r w:rsidR="00E36F2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01858">
        <w:rPr>
          <w:rFonts w:ascii="Arial" w:eastAsia="Times New Roman" w:hAnsi="Arial" w:cs="Arial"/>
          <w:sz w:val="20"/>
          <w:szCs w:val="20"/>
          <w:lang w:eastAsia="ar-SA"/>
        </w:rPr>
        <w:t xml:space="preserve">opakovaně (více než jednou) </w:t>
      </w:r>
      <w:proofErr w:type="gramStart"/>
      <w:r w:rsidR="00301858">
        <w:rPr>
          <w:rFonts w:ascii="Arial" w:eastAsia="Times New Roman" w:hAnsi="Arial" w:cs="Arial"/>
          <w:sz w:val="20"/>
          <w:szCs w:val="20"/>
          <w:lang w:eastAsia="ar-SA"/>
        </w:rPr>
        <w:t>předloží</w:t>
      </w:r>
      <w:proofErr w:type="gramEnd"/>
      <w:r w:rsidR="00301858">
        <w:rPr>
          <w:rFonts w:ascii="Arial" w:eastAsia="Times New Roman" w:hAnsi="Arial" w:cs="Arial"/>
          <w:sz w:val="20"/>
          <w:szCs w:val="20"/>
          <w:lang w:eastAsia="ar-SA"/>
        </w:rPr>
        <w:t xml:space="preserve"> výstup dle přílohy č. 1 této smlouvy Objednateli, který nesplňuje zadání či vykazuje jiné vady (např. gramatické, terminologické </w:t>
      </w:r>
      <w:r w:rsidR="00D34524">
        <w:rPr>
          <w:rFonts w:ascii="Arial" w:eastAsia="Times New Roman" w:hAnsi="Arial" w:cs="Arial"/>
          <w:sz w:val="20"/>
          <w:szCs w:val="20"/>
          <w:lang w:eastAsia="ar-SA"/>
        </w:rPr>
        <w:t xml:space="preserve">nepřesnosti </w:t>
      </w:r>
      <w:r w:rsidR="00301858">
        <w:rPr>
          <w:rFonts w:ascii="Arial" w:eastAsia="Times New Roman" w:hAnsi="Arial" w:cs="Arial"/>
          <w:sz w:val="20"/>
          <w:szCs w:val="20"/>
          <w:lang w:eastAsia="ar-SA"/>
        </w:rPr>
        <w:t xml:space="preserve">aj.) </w:t>
      </w:r>
    </w:p>
    <w:bookmarkEnd w:id="2"/>
    <w:p w14:paraId="71686CF5" w14:textId="264E7D0B" w:rsidR="00BF0CD4" w:rsidRPr="00CF3B49" w:rsidRDefault="00BF0CD4" w:rsidP="00BF0CD4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Smluvní strany jsou oprávněny od této Smlouvy odstoupit za podmínek stanovených </w:t>
      </w:r>
      <w:r w:rsidR="00F87D55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zákonem </w:t>
      </w:r>
      <w:r w:rsidR="00D34524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F87D55" w:rsidRPr="00CF3B49">
        <w:rPr>
          <w:rFonts w:ascii="Arial" w:eastAsia="Times New Roman" w:hAnsi="Arial" w:cs="Arial"/>
          <w:sz w:val="20"/>
          <w:szCs w:val="20"/>
          <w:lang w:eastAsia="ar-SA"/>
        </w:rPr>
        <w:t>č. 89/2012 Sb., ob</w:t>
      </w:r>
      <w:r w:rsidRPr="00CF3B49">
        <w:rPr>
          <w:rFonts w:ascii="Arial" w:eastAsia="Times New Roman" w:hAnsi="Arial" w:cs="Arial"/>
          <w:sz w:val="20"/>
          <w:szCs w:val="20"/>
          <w:lang w:eastAsia="ar-SA"/>
        </w:rPr>
        <w:t>čansk</w:t>
      </w:r>
      <w:r w:rsidR="00F87D55" w:rsidRPr="00CF3B49">
        <w:rPr>
          <w:rFonts w:ascii="Arial" w:eastAsia="Times New Roman" w:hAnsi="Arial" w:cs="Arial"/>
          <w:sz w:val="20"/>
          <w:szCs w:val="20"/>
          <w:lang w:eastAsia="ar-SA"/>
        </w:rPr>
        <w:t>ý zákoník, v platném znění</w:t>
      </w:r>
      <w:r w:rsidRPr="00CF3B4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E28DB4E" w14:textId="77777777" w:rsidR="00BF0CD4" w:rsidRPr="00CF3B49" w:rsidRDefault="00BF0CD4" w:rsidP="00B74D53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>Odstoupení od této Smlouvy je účinné dnem doručení písemného projevu oznámení o odstoupení druhé Smluvní straně, a tato Smlouva zaniká dnem doručení takového oznámení.</w:t>
      </w:r>
    </w:p>
    <w:p w14:paraId="1072132F" w14:textId="6E8F2E20" w:rsidR="00BF0CD4" w:rsidRPr="00CF3B49" w:rsidRDefault="00F87D55" w:rsidP="00BF0CD4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>Objednatel</w:t>
      </w:r>
      <w:r w:rsidR="00BF0CD4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je oprávněn tuto Smlouvu vyp</w:t>
      </w:r>
      <w:r w:rsidR="00377AE4" w:rsidRPr="00CF3B49">
        <w:rPr>
          <w:rFonts w:ascii="Arial" w:eastAsia="Times New Roman" w:hAnsi="Arial" w:cs="Arial"/>
          <w:sz w:val="20"/>
          <w:szCs w:val="20"/>
          <w:lang w:eastAsia="ar-SA"/>
        </w:rPr>
        <w:t>ovědět, a to i bez</w:t>
      </w:r>
      <w:r w:rsidR="00BF0CD4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udání důvodu. Výpovědní doba činí 1</w:t>
      </w:r>
      <w:r w:rsidRPr="00CF3B49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BF0CD4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týden a začíná běžet dnem následujícím po dni, ve kterém bylo písemné vyhotovení výpovědi prokazatelně doručeno </w:t>
      </w:r>
      <w:r w:rsidR="00D34524">
        <w:rPr>
          <w:rFonts w:ascii="Arial" w:eastAsia="Times New Roman" w:hAnsi="Arial" w:cs="Arial"/>
          <w:sz w:val="20"/>
          <w:szCs w:val="20"/>
          <w:lang w:eastAsia="ar-SA"/>
        </w:rPr>
        <w:t>Poskytovateli</w:t>
      </w:r>
      <w:r w:rsidR="00BF0CD4" w:rsidRPr="00CF3B4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0356AF5F" w14:textId="05E96895" w:rsidR="00BF0CD4" w:rsidRPr="00CF3B49" w:rsidRDefault="00D34524" w:rsidP="00BF0CD4">
      <w:pPr>
        <w:widowControl w:val="0"/>
        <w:numPr>
          <w:ilvl w:val="1"/>
          <w:numId w:val="9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Poskytovatel</w:t>
      </w:r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BF0CD4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je povinen poskytnout </w:t>
      </w:r>
      <w:r w:rsidR="00F87D55" w:rsidRPr="00CF3B49">
        <w:rPr>
          <w:rFonts w:ascii="Arial" w:eastAsia="Times New Roman" w:hAnsi="Arial" w:cs="Arial"/>
          <w:sz w:val="20"/>
          <w:szCs w:val="20"/>
          <w:lang w:eastAsia="ar-SA"/>
        </w:rPr>
        <w:t>Objednateli</w:t>
      </w:r>
      <w:r w:rsidR="00BF0CD4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v případě předčasného ukončení této Smlouvy </w:t>
      </w:r>
      <w:r w:rsidR="00BF0CD4" w:rsidRPr="00CF3B49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nezbytnou součinnost tak, aby </w:t>
      </w:r>
      <w:r w:rsidR="00F87D55" w:rsidRPr="00CF3B49">
        <w:rPr>
          <w:rFonts w:ascii="Arial" w:eastAsia="Times New Roman" w:hAnsi="Arial" w:cs="Arial"/>
          <w:sz w:val="20"/>
          <w:szCs w:val="20"/>
          <w:lang w:eastAsia="ar-SA"/>
        </w:rPr>
        <w:t>Objednateli</w:t>
      </w:r>
      <w:r w:rsidR="00BF0CD4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nevznikala škoda či jiná újma.</w:t>
      </w:r>
    </w:p>
    <w:p w14:paraId="2F9272F4" w14:textId="77777777" w:rsidR="00C56F33" w:rsidRPr="00CF3B49" w:rsidRDefault="00C56F33" w:rsidP="006A79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050D143" w14:textId="77777777" w:rsidR="006A5B11" w:rsidRPr="00CF3B49" w:rsidRDefault="006A5B11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5778A9EA" w14:textId="77777777" w:rsidR="00C56F33" w:rsidRPr="00CF3B49" w:rsidRDefault="00C56F33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Článek </w:t>
      </w:r>
      <w:r w:rsidR="00A12DA3"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7</w:t>
      </w:r>
    </w:p>
    <w:p w14:paraId="4B1B6726" w14:textId="77777777" w:rsidR="006A7941" w:rsidRPr="00CF3B49" w:rsidRDefault="006A7941" w:rsidP="00F12E29">
      <w:pPr>
        <w:widowControl w:val="0"/>
        <w:tabs>
          <w:tab w:val="left" w:pos="0"/>
        </w:tabs>
        <w:overflowPunct w:val="0"/>
        <w:autoSpaceDE w:val="0"/>
        <w:spacing w:after="200" w:line="280" w:lineRule="atLeast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Závěrečná ujednání</w:t>
      </w:r>
    </w:p>
    <w:p w14:paraId="75510148" w14:textId="77777777" w:rsidR="00A12DA3" w:rsidRPr="00CF3B49" w:rsidRDefault="00A12DA3" w:rsidP="00A12DA3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Nestanoví-li tato Smlouva jinak, je možné ji měnit pouze písemnou dohodou smluvních stran ve formě vzestupně číslovaných dodatků této Smlouvy. </w:t>
      </w:r>
    </w:p>
    <w:p w14:paraId="3FAB1740" w14:textId="77777777" w:rsidR="00A12DA3" w:rsidRPr="00CF3B49" w:rsidRDefault="00A12DA3" w:rsidP="00A12DA3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>Práva a povinnosti vzniklé na základě této Smlouvy nebo v souvislosti s ní se řídí platnými a účinnými právními předpisy České republiky, zejména zákonem č. 89/2012 Sb., občanský zákoník, v platném znění.</w:t>
      </w:r>
    </w:p>
    <w:p w14:paraId="21A7C1E7" w14:textId="77777777" w:rsidR="00A12DA3" w:rsidRPr="00CF3B49" w:rsidRDefault="00A12DA3" w:rsidP="00A12DA3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>Smluvní strany se zavazují vyvinout maximální úsilí k odstranění vzájemných sporů vzniklých na základě této Smlouvy nebo v souvislosti s touto Smlouvou a k jejich vyřešení. Nedohodnou-li se smluvní strany na způsobu řešení vzájemného sporu, spor bude rozhodován věcně a místně příslušné soudy České republiky.</w:t>
      </w:r>
    </w:p>
    <w:p w14:paraId="3BC6719E" w14:textId="665DBF6B" w:rsidR="00A12DA3" w:rsidRPr="00CF3B49" w:rsidRDefault="00A12DA3" w:rsidP="00A12DA3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Tato Smlouva se uzavírá ve třech (3) vyhotoveních, z nichž dvě (2) vyhotovení </w:t>
      </w:r>
      <w:proofErr w:type="gramStart"/>
      <w:r w:rsidRPr="00CF3B49">
        <w:rPr>
          <w:rFonts w:ascii="Arial" w:eastAsia="Times New Roman" w:hAnsi="Arial" w:cs="Arial"/>
          <w:sz w:val="20"/>
          <w:szCs w:val="20"/>
          <w:lang w:eastAsia="ar-SA"/>
        </w:rPr>
        <w:t>obdrží</w:t>
      </w:r>
      <w:proofErr w:type="gramEnd"/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Objednatel a jedno (1) vyhotovení obdrží </w:t>
      </w:r>
      <w:r w:rsidR="00D34524">
        <w:rPr>
          <w:rFonts w:ascii="Arial" w:eastAsia="Times New Roman" w:hAnsi="Arial" w:cs="Arial"/>
          <w:sz w:val="20"/>
          <w:szCs w:val="20"/>
          <w:lang w:eastAsia="ar-SA"/>
        </w:rPr>
        <w:t>Poskytovatel</w:t>
      </w:r>
      <w:r w:rsidR="00DC2B5C"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70184CD" w14:textId="47AA8980" w:rsidR="00A12DA3" w:rsidRPr="00CF3B49" w:rsidRDefault="00A12DA3" w:rsidP="00A12DA3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>Smluvní strany výslovně prohlašují, že si tuto Smlouvu přečetly, že byla sepsána podle jejich pravé a svobodné vůle a nebyla ujednána v tísni, nebo za nápadně nevýhodných podmínek, což jejich odpovědní zástupci stvrzují vlastnoručními podpisy.</w:t>
      </w:r>
    </w:p>
    <w:p w14:paraId="20EEDEAA" w14:textId="3BB0E820" w:rsidR="00A979D7" w:rsidRPr="00CF3B49" w:rsidRDefault="00A979D7" w:rsidP="00603C4D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Tato </w:t>
      </w:r>
      <w:r w:rsidR="001B1025" w:rsidRPr="00CF3B49">
        <w:rPr>
          <w:rFonts w:ascii="Arial" w:eastAsia="Times New Roman" w:hAnsi="Arial" w:cs="Arial"/>
          <w:sz w:val="20"/>
          <w:szCs w:val="20"/>
          <w:lang w:eastAsia="ar-SA"/>
        </w:rPr>
        <w:t>S</w:t>
      </w:r>
      <w:r w:rsidRPr="00CF3B49">
        <w:rPr>
          <w:rFonts w:ascii="Arial" w:eastAsia="Times New Roman" w:hAnsi="Arial" w:cs="Arial"/>
          <w:sz w:val="20"/>
          <w:szCs w:val="20"/>
          <w:lang w:eastAsia="ar-SA"/>
        </w:rPr>
        <w:t>mlouva je uzavírána v elektronické podobě, tj. prostřednictvím uznávaného elektronického podpisu ve smyslu zákona č. 297/2016 Sb., o službách vytvářejících důvěru pro elektronické transakce, ve znění pozdějších předpisů.</w:t>
      </w:r>
    </w:p>
    <w:p w14:paraId="1D5AA72B" w14:textId="77777777" w:rsidR="00080CB3" w:rsidRPr="00CF3B49" w:rsidRDefault="00080CB3" w:rsidP="00603C4D">
      <w:pPr>
        <w:widowControl w:val="0"/>
        <w:numPr>
          <w:ilvl w:val="1"/>
          <w:numId w:val="10"/>
        </w:numPr>
        <w:suppressAutoHyphens/>
        <w:overflowPunct w:val="0"/>
        <w:autoSpaceDE w:val="0"/>
        <w:spacing w:after="40" w:line="280" w:lineRule="atLeas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Nedílnou součást této Smlouvy </w:t>
      </w:r>
      <w:proofErr w:type="gramStart"/>
      <w:r w:rsidRPr="00CF3B49">
        <w:rPr>
          <w:rFonts w:ascii="Arial" w:eastAsia="Times New Roman" w:hAnsi="Arial" w:cs="Arial"/>
          <w:sz w:val="20"/>
          <w:szCs w:val="20"/>
          <w:lang w:eastAsia="ar-SA"/>
        </w:rPr>
        <w:t>tvoří</w:t>
      </w:r>
      <w:proofErr w:type="gramEnd"/>
      <w:r w:rsidRPr="00CF3B49">
        <w:rPr>
          <w:rFonts w:ascii="Arial" w:eastAsia="Times New Roman" w:hAnsi="Arial" w:cs="Arial"/>
          <w:sz w:val="20"/>
          <w:szCs w:val="20"/>
          <w:lang w:eastAsia="ar-SA"/>
        </w:rPr>
        <w:t xml:space="preserve"> níže uvedené přílohy: </w:t>
      </w:r>
    </w:p>
    <w:p w14:paraId="132C1628" w14:textId="77777777" w:rsidR="00080CB3" w:rsidRPr="00CF3B49" w:rsidRDefault="00080CB3" w:rsidP="00603C4D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E5CC44B" w14:textId="226A0523" w:rsidR="00A12DA3" w:rsidRPr="00CF3B49" w:rsidRDefault="00080CB3" w:rsidP="00A12DA3">
      <w:pPr>
        <w:widowControl w:val="0"/>
        <w:spacing w:after="120" w:line="280" w:lineRule="atLeast"/>
        <w:rPr>
          <w:rFonts w:ascii="Arial" w:hAnsi="Arial" w:cs="Arial"/>
          <w:color w:val="0D0D0D"/>
          <w:sz w:val="20"/>
          <w:szCs w:val="20"/>
        </w:rPr>
      </w:pPr>
      <w:r w:rsidRPr="00CF3B49">
        <w:rPr>
          <w:rFonts w:ascii="Arial" w:hAnsi="Arial" w:cs="Arial"/>
          <w:color w:val="0D0D0D"/>
          <w:sz w:val="20"/>
          <w:szCs w:val="20"/>
          <w:u w:val="single"/>
        </w:rPr>
        <w:t>Příloha č. 1</w:t>
      </w:r>
      <w:r w:rsidRPr="00CF3B49">
        <w:rPr>
          <w:rFonts w:ascii="Arial" w:hAnsi="Arial" w:cs="Arial"/>
          <w:color w:val="0D0D0D"/>
          <w:sz w:val="20"/>
          <w:szCs w:val="20"/>
        </w:rPr>
        <w:t>: Činnosti, výstupy a výše odměny</w:t>
      </w:r>
    </w:p>
    <w:p w14:paraId="75C3CCC9" w14:textId="6B78820D" w:rsidR="00080CB3" w:rsidRDefault="00080CB3" w:rsidP="00A12DA3">
      <w:pPr>
        <w:widowControl w:val="0"/>
        <w:spacing w:after="120" w:line="28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922109B" w14:textId="77777777" w:rsidR="00363B84" w:rsidRPr="00CF3B49" w:rsidRDefault="00363B84" w:rsidP="00A12DA3">
      <w:pPr>
        <w:widowControl w:val="0"/>
        <w:spacing w:after="120" w:line="28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A12DA3" w:rsidRPr="00CF3B49" w14:paraId="2C404171" w14:textId="77777777" w:rsidTr="008C02F5">
        <w:tc>
          <w:tcPr>
            <w:tcW w:w="4605" w:type="dxa"/>
            <w:hideMark/>
          </w:tcPr>
          <w:p w14:paraId="57E33F05" w14:textId="77777777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CF3B49">
              <w:rPr>
                <w:rFonts w:ascii="Arial" w:eastAsia="Calibri" w:hAnsi="Arial" w:cs="Arial"/>
                <w:sz w:val="20"/>
                <w:szCs w:val="20"/>
                <w:lang w:eastAsia="cs-CZ"/>
              </w:rPr>
              <w:t>Za Objednatele:</w:t>
            </w:r>
          </w:p>
          <w:p w14:paraId="43F5917C" w14:textId="77777777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3EDB26C0" w14:textId="77777777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786A7262" w14:textId="77777777" w:rsidR="00A12DA3" w:rsidRPr="00CF3B49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26B30341" w14:textId="77777777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3C908C96" w14:textId="77777777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CF3B49">
              <w:rPr>
                <w:rFonts w:ascii="Arial" w:eastAsia="Calibri" w:hAnsi="Arial" w:cs="Arial"/>
                <w:sz w:val="20"/>
                <w:szCs w:val="20"/>
                <w:lang w:eastAsia="cs-CZ"/>
              </w:rPr>
              <w:t>V Praze dne …………………</w:t>
            </w:r>
            <w:proofErr w:type="gramStart"/>
            <w:r w:rsidRPr="00CF3B49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…….</w:t>
            </w:r>
            <w:proofErr w:type="gramEnd"/>
          </w:p>
        </w:tc>
        <w:tc>
          <w:tcPr>
            <w:tcW w:w="4605" w:type="dxa"/>
            <w:hideMark/>
          </w:tcPr>
          <w:p w14:paraId="106E2445" w14:textId="35855AEA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CF3B4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 </w:t>
            </w:r>
            <w:r w:rsidR="00D34524">
              <w:rPr>
                <w:rFonts w:ascii="Arial" w:eastAsia="Calibri" w:hAnsi="Arial" w:cs="Arial"/>
                <w:sz w:val="20"/>
                <w:szCs w:val="20"/>
                <w:lang w:eastAsia="cs-CZ"/>
              </w:rPr>
              <w:t>Poskytovatele</w:t>
            </w:r>
            <w:r w:rsidRPr="00CF3B49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  <w:p w14:paraId="6C72335F" w14:textId="77777777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7429A836" w14:textId="77777777" w:rsidR="00A12DA3" w:rsidRPr="00CF3B49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7D27249D" w14:textId="77777777" w:rsidR="00A12DA3" w:rsidRPr="00CF3B49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61B484C2" w14:textId="77777777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6555EBB4" w14:textId="77777777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CF3B49">
              <w:rPr>
                <w:rFonts w:ascii="Arial" w:eastAsia="Calibri" w:hAnsi="Arial" w:cs="Arial"/>
                <w:sz w:val="20"/>
                <w:szCs w:val="20"/>
                <w:lang w:eastAsia="cs-CZ"/>
              </w:rPr>
              <w:t>V ………………… dne ………………</w:t>
            </w:r>
          </w:p>
        </w:tc>
      </w:tr>
      <w:tr w:rsidR="00A12DA3" w:rsidRPr="00A12DA3" w14:paraId="7273BA61" w14:textId="77777777" w:rsidTr="008C02F5">
        <w:tc>
          <w:tcPr>
            <w:tcW w:w="4605" w:type="dxa"/>
          </w:tcPr>
          <w:p w14:paraId="381B58DA" w14:textId="77777777" w:rsidR="00A12DA3" w:rsidRPr="00CF3B49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0C2C8402" w14:textId="77777777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22D0E7EB" w14:textId="77777777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CF3B49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………………………………………</w:t>
            </w:r>
          </w:p>
          <w:p w14:paraId="5D033F5C" w14:textId="2AAB86E8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CF3B49">
              <w:rPr>
                <w:rFonts w:ascii="Arial" w:eastAsia="Calibri" w:hAnsi="Arial" w:cs="Arial"/>
                <w:sz w:val="20"/>
                <w:szCs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14:paraId="60A2A0A3" w14:textId="77777777" w:rsidR="00A12DA3" w:rsidRPr="00CF3B49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59F9737E" w14:textId="77777777" w:rsidR="00A12DA3" w:rsidRPr="00CF3B49" w:rsidRDefault="00A12DA3" w:rsidP="00A12DA3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  <w:p w14:paraId="51D0804A" w14:textId="77777777" w:rsidR="00A12DA3" w:rsidRPr="00CF3B49" w:rsidRDefault="00A12DA3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CF3B49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…………………………………….</w:t>
            </w:r>
          </w:p>
          <w:p w14:paraId="2C953089" w14:textId="2EBBE71E" w:rsidR="00B74D53" w:rsidRPr="00A12DA3" w:rsidRDefault="00D34524" w:rsidP="00A12DA3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Poskytovatel</w:t>
            </w:r>
          </w:p>
        </w:tc>
      </w:tr>
    </w:tbl>
    <w:p w14:paraId="5CC2076F" w14:textId="77777777" w:rsidR="00325902" w:rsidRDefault="00325902" w:rsidP="006D3245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5D14CB" w14:textId="77777777" w:rsidR="006A7941" w:rsidRPr="006A7941" w:rsidRDefault="006A7941" w:rsidP="006A7941">
      <w:pPr>
        <w:tabs>
          <w:tab w:val="center" w:pos="2340"/>
          <w:tab w:val="center" w:pos="70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F366AB" w14:textId="77777777" w:rsidR="007A1B30" w:rsidRDefault="007A1B30"/>
    <w:sectPr w:rsidR="007A1B30" w:rsidSect="004347BC">
      <w:headerReference w:type="default" r:id="rId8"/>
      <w:footerReference w:type="even" r:id="rId9"/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EDBB" w14:textId="77777777" w:rsidR="00390C00" w:rsidRDefault="00390C00">
      <w:r>
        <w:separator/>
      </w:r>
    </w:p>
  </w:endnote>
  <w:endnote w:type="continuationSeparator" w:id="0">
    <w:p w14:paraId="13BD4DFE" w14:textId="77777777" w:rsidR="00390C00" w:rsidRDefault="0039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CC11" w14:textId="77777777" w:rsidR="00325902" w:rsidRDefault="00325902" w:rsidP="004347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D77D99" w14:textId="77777777" w:rsidR="00325902" w:rsidRDefault="003259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6915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C82E77" w14:textId="77777777" w:rsidR="00322437" w:rsidRDefault="00322437">
            <w:pPr>
              <w:pStyle w:val="Zpat"/>
              <w:jc w:val="center"/>
            </w:pPr>
            <w:r w:rsidRPr="00322437">
              <w:rPr>
                <w:sz w:val="18"/>
                <w:szCs w:val="18"/>
              </w:rPr>
              <w:t xml:space="preserve">Stránka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PAGE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 w:rsidR="00377AE4">
              <w:rPr>
                <w:b/>
                <w:bCs/>
                <w:noProof/>
                <w:sz w:val="18"/>
                <w:szCs w:val="18"/>
              </w:rPr>
              <w:t>4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  <w:r w:rsidRPr="00322437">
              <w:rPr>
                <w:sz w:val="18"/>
                <w:szCs w:val="18"/>
              </w:rPr>
              <w:t xml:space="preserve"> z </w:t>
            </w:r>
            <w:r w:rsidRPr="00322437">
              <w:rPr>
                <w:b/>
                <w:bCs/>
                <w:sz w:val="18"/>
                <w:szCs w:val="18"/>
              </w:rPr>
              <w:fldChar w:fldCharType="begin"/>
            </w:r>
            <w:r w:rsidRPr="00322437">
              <w:rPr>
                <w:b/>
                <w:bCs/>
                <w:sz w:val="18"/>
                <w:szCs w:val="18"/>
              </w:rPr>
              <w:instrText>NUMPAGES</w:instrText>
            </w:r>
            <w:r w:rsidRPr="00322437">
              <w:rPr>
                <w:b/>
                <w:bCs/>
                <w:sz w:val="18"/>
                <w:szCs w:val="18"/>
              </w:rPr>
              <w:fldChar w:fldCharType="separate"/>
            </w:r>
            <w:r w:rsidR="00377AE4">
              <w:rPr>
                <w:b/>
                <w:bCs/>
                <w:noProof/>
                <w:sz w:val="18"/>
                <w:szCs w:val="18"/>
              </w:rPr>
              <w:t>5</w:t>
            </w:r>
            <w:r w:rsidRPr="003224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7AB69B8" w14:textId="77777777" w:rsidR="00322437" w:rsidRDefault="003224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32EE" w14:textId="77777777" w:rsidR="00390C00" w:rsidRDefault="00390C00">
      <w:r>
        <w:separator/>
      </w:r>
    </w:p>
  </w:footnote>
  <w:footnote w:type="continuationSeparator" w:id="0">
    <w:p w14:paraId="7CB5F565" w14:textId="77777777" w:rsidR="00390C00" w:rsidRDefault="0039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5D61" w14:textId="77777777" w:rsidR="00575D3B" w:rsidRPr="00575D3B" w:rsidRDefault="00575D3B" w:rsidP="00575D3B">
    <w:pPr>
      <w:pStyle w:val="Zhlav"/>
      <w:tabs>
        <w:tab w:val="clear" w:pos="4536"/>
        <w:tab w:val="clear" w:pos="9072"/>
        <w:tab w:val="left" w:pos="3744"/>
      </w:tabs>
    </w:pPr>
    <w:r w:rsidRPr="00575D3B">
      <w:rPr>
        <w:noProof/>
        <w:lang w:eastAsia="cs-CZ"/>
      </w:rPr>
      <w:drawing>
        <wp:inline distT="0" distB="0" distL="0" distR="0" wp14:anchorId="55CDB186" wp14:editId="4F203945">
          <wp:extent cx="3246120" cy="67056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1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5D3B">
      <w:t xml:space="preserve">                            </w:t>
    </w:r>
    <w:r w:rsidRPr="00575D3B">
      <w:rPr>
        <w:noProof/>
        <w:lang w:eastAsia="cs-CZ"/>
      </w:rPr>
      <w:drawing>
        <wp:inline distT="0" distB="0" distL="0" distR="0" wp14:anchorId="2241F2DF" wp14:editId="570F1094">
          <wp:extent cx="655320" cy="670560"/>
          <wp:effectExtent l="0" t="0" r="0" b="0"/>
          <wp:docPr id="5" name="Obrázek 5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MPSV-m-s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5D3B">
      <w:t xml:space="preserve"> </w:t>
    </w:r>
  </w:p>
  <w:p w14:paraId="5FB8167F" w14:textId="77777777" w:rsidR="00575D3B" w:rsidRDefault="00575D3B" w:rsidP="00575D3B">
    <w:pPr>
      <w:pStyle w:val="Zhlav"/>
      <w:tabs>
        <w:tab w:val="clear" w:pos="4536"/>
        <w:tab w:val="clear" w:pos="9072"/>
        <w:tab w:val="left" w:pos="37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6AA6"/>
    <w:multiLevelType w:val="multilevel"/>
    <w:tmpl w:val="AE9AE2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7F6565"/>
    <w:multiLevelType w:val="multilevel"/>
    <w:tmpl w:val="FB92CAA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AB4465"/>
    <w:multiLevelType w:val="multilevel"/>
    <w:tmpl w:val="34D40C6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AC76774"/>
    <w:multiLevelType w:val="multilevel"/>
    <w:tmpl w:val="2FAAF1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02213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436243"/>
    <w:multiLevelType w:val="multilevel"/>
    <w:tmpl w:val="61AC7A5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77E2B8E"/>
    <w:multiLevelType w:val="multilevel"/>
    <w:tmpl w:val="9A8423B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9.4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765E37B3"/>
    <w:multiLevelType w:val="multilevel"/>
    <w:tmpl w:val="1304E77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6697AF6"/>
    <w:multiLevelType w:val="multilevel"/>
    <w:tmpl w:val="54A4ACA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8B509E"/>
    <w:multiLevelType w:val="multilevel"/>
    <w:tmpl w:val="6FBE4D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FFD71B3"/>
    <w:multiLevelType w:val="multilevel"/>
    <w:tmpl w:val="B6265ED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41"/>
    <w:rsid w:val="00010CB4"/>
    <w:rsid w:val="00051108"/>
    <w:rsid w:val="00060BEB"/>
    <w:rsid w:val="00062FF7"/>
    <w:rsid w:val="00071C65"/>
    <w:rsid w:val="00080CB3"/>
    <w:rsid w:val="000870BB"/>
    <w:rsid w:val="000948B7"/>
    <w:rsid w:val="000B587B"/>
    <w:rsid w:val="000C1D79"/>
    <w:rsid w:val="000C58CF"/>
    <w:rsid w:val="000E7331"/>
    <w:rsid w:val="001039D1"/>
    <w:rsid w:val="00106FA8"/>
    <w:rsid w:val="00120931"/>
    <w:rsid w:val="0013179E"/>
    <w:rsid w:val="00131F80"/>
    <w:rsid w:val="00132414"/>
    <w:rsid w:val="00143242"/>
    <w:rsid w:val="00171BCC"/>
    <w:rsid w:val="00172997"/>
    <w:rsid w:val="00190EA9"/>
    <w:rsid w:val="0019296E"/>
    <w:rsid w:val="0019475F"/>
    <w:rsid w:val="001B1025"/>
    <w:rsid w:val="001F39CE"/>
    <w:rsid w:val="00205EC7"/>
    <w:rsid w:val="00215482"/>
    <w:rsid w:val="00225B98"/>
    <w:rsid w:val="00276BF5"/>
    <w:rsid w:val="00280DC7"/>
    <w:rsid w:val="002C4602"/>
    <w:rsid w:val="002D5545"/>
    <w:rsid w:val="002F2C41"/>
    <w:rsid w:val="00301858"/>
    <w:rsid w:val="003203D7"/>
    <w:rsid w:val="00322437"/>
    <w:rsid w:val="00325902"/>
    <w:rsid w:val="00333851"/>
    <w:rsid w:val="00363B84"/>
    <w:rsid w:val="00377AE4"/>
    <w:rsid w:val="00390C00"/>
    <w:rsid w:val="003920FE"/>
    <w:rsid w:val="00393030"/>
    <w:rsid w:val="00393179"/>
    <w:rsid w:val="003A7318"/>
    <w:rsid w:val="003B0191"/>
    <w:rsid w:val="0042695E"/>
    <w:rsid w:val="00432601"/>
    <w:rsid w:val="004347BC"/>
    <w:rsid w:val="00437DC4"/>
    <w:rsid w:val="0044591A"/>
    <w:rsid w:val="004511D7"/>
    <w:rsid w:val="0047697B"/>
    <w:rsid w:val="004834E2"/>
    <w:rsid w:val="00485C69"/>
    <w:rsid w:val="00496108"/>
    <w:rsid w:val="004A5F53"/>
    <w:rsid w:val="004D4A8F"/>
    <w:rsid w:val="004E34C0"/>
    <w:rsid w:val="004E6EE3"/>
    <w:rsid w:val="004F1E15"/>
    <w:rsid w:val="0052289D"/>
    <w:rsid w:val="0054319C"/>
    <w:rsid w:val="005500B8"/>
    <w:rsid w:val="00556A4F"/>
    <w:rsid w:val="005756A2"/>
    <w:rsid w:val="00575D3B"/>
    <w:rsid w:val="005B41B6"/>
    <w:rsid w:val="005E0156"/>
    <w:rsid w:val="00600C3D"/>
    <w:rsid w:val="00603C4D"/>
    <w:rsid w:val="00614FDC"/>
    <w:rsid w:val="00632DC1"/>
    <w:rsid w:val="00662E19"/>
    <w:rsid w:val="0066349B"/>
    <w:rsid w:val="00674794"/>
    <w:rsid w:val="006812E7"/>
    <w:rsid w:val="0069037D"/>
    <w:rsid w:val="006A5B11"/>
    <w:rsid w:val="006A7941"/>
    <w:rsid w:val="006C4F98"/>
    <w:rsid w:val="006D3245"/>
    <w:rsid w:val="006E23D6"/>
    <w:rsid w:val="00720BA8"/>
    <w:rsid w:val="0073029B"/>
    <w:rsid w:val="00745696"/>
    <w:rsid w:val="00754A4B"/>
    <w:rsid w:val="00757F16"/>
    <w:rsid w:val="0076342B"/>
    <w:rsid w:val="007649C6"/>
    <w:rsid w:val="007900AA"/>
    <w:rsid w:val="00796EEE"/>
    <w:rsid w:val="007A1B30"/>
    <w:rsid w:val="007B0D08"/>
    <w:rsid w:val="007C5CB6"/>
    <w:rsid w:val="007D1016"/>
    <w:rsid w:val="007E5E56"/>
    <w:rsid w:val="00847109"/>
    <w:rsid w:val="00851A2D"/>
    <w:rsid w:val="00857B21"/>
    <w:rsid w:val="008617A5"/>
    <w:rsid w:val="00886252"/>
    <w:rsid w:val="008A462B"/>
    <w:rsid w:val="008C35E1"/>
    <w:rsid w:val="008E4748"/>
    <w:rsid w:val="009618F9"/>
    <w:rsid w:val="009648B7"/>
    <w:rsid w:val="009C5737"/>
    <w:rsid w:val="009C636D"/>
    <w:rsid w:val="009D0E04"/>
    <w:rsid w:val="009D5962"/>
    <w:rsid w:val="009D7FFE"/>
    <w:rsid w:val="00A002DE"/>
    <w:rsid w:val="00A12DA3"/>
    <w:rsid w:val="00A56933"/>
    <w:rsid w:val="00A71383"/>
    <w:rsid w:val="00A81A4D"/>
    <w:rsid w:val="00A834A8"/>
    <w:rsid w:val="00A84E5E"/>
    <w:rsid w:val="00A979D7"/>
    <w:rsid w:val="00AA7601"/>
    <w:rsid w:val="00AB751C"/>
    <w:rsid w:val="00AD70F4"/>
    <w:rsid w:val="00AE37AC"/>
    <w:rsid w:val="00B10C74"/>
    <w:rsid w:val="00B13726"/>
    <w:rsid w:val="00B37560"/>
    <w:rsid w:val="00B44DF0"/>
    <w:rsid w:val="00B63143"/>
    <w:rsid w:val="00B74306"/>
    <w:rsid w:val="00B74D53"/>
    <w:rsid w:val="00BF0506"/>
    <w:rsid w:val="00BF0CD4"/>
    <w:rsid w:val="00C20AAA"/>
    <w:rsid w:val="00C214F9"/>
    <w:rsid w:val="00C3068C"/>
    <w:rsid w:val="00C31C9F"/>
    <w:rsid w:val="00C446FB"/>
    <w:rsid w:val="00C56F33"/>
    <w:rsid w:val="00C6395E"/>
    <w:rsid w:val="00CB1DA2"/>
    <w:rsid w:val="00CF2C1C"/>
    <w:rsid w:val="00CF3B49"/>
    <w:rsid w:val="00D34524"/>
    <w:rsid w:val="00D40564"/>
    <w:rsid w:val="00D57475"/>
    <w:rsid w:val="00D9006B"/>
    <w:rsid w:val="00DB58AD"/>
    <w:rsid w:val="00DC2B5C"/>
    <w:rsid w:val="00DE13B2"/>
    <w:rsid w:val="00E03143"/>
    <w:rsid w:val="00E202CC"/>
    <w:rsid w:val="00E36F29"/>
    <w:rsid w:val="00E41E39"/>
    <w:rsid w:val="00E426CB"/>
    <w:rsid w:val="00E442AE"/>
    <w:rsid w:val="00E519F0"/>
    <w:rsid w:val="00E714FE"/>
    <w:rsid w:val="00E73833"/>
    <w:rsid w:val="00E775CC"/>
    <w:rsid w:val="00E81A23"/>
    <w:rsid w:val="00E82CEE"/>
    <w:rsid w:val="00EC5897"/>
    <w:rsid w:val="00ED55D6"/>
    <w:rsid w:val="00F07286"/>
    <w:rsid w:val="00F12E29"/>
    <w:rsid w:val="00F43C60"/>
    <w:rsid w:val="00F87D55"/>
    <w:rsid w:val="00F93BCD"/>
    <w:rsid w:val="00F944DB"/>
    <w:rsid w:val="00FD60F4"/>
    <w:rsid w:val="00FE1760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E2C36"/>
  <w15:docId w15:val="{0CF2E38C-9ACE-4F88-B258-E6C97D50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F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794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A7941"/>
  </w:style>
  <w:style w:type="paragraph" w:styleId="Textbubliny">
    <w:name w:val="Balloon Text"/>
    <w:basedOn w:val="Normln"/>
    <w:link w:val="TextbublinyChar"/>
    <w:uiPriority w:val="99"/>
    <w:semiHidden/>
    <w:unhideWhenUsed/>
    <w:rsid w:val="005E0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15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347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7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7B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05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51C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22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437"/>
  </w:style>
  <w:style w:type="character" w:customStyle="1" w:styleId="ECVHeadingContactDetails">
    <w:name w:val="_ECV_HeadingContactDetails"/>
    <w:rsid w:val="00ED55D6"/>
    <w:rPr>
      <w:rFonts w:ascii="Arial" w:hAnsi="Arial" w:cs="Arial" w:hint="default"/>
      <w:color w:val="1593CB"/>
      <w:sz w:val="18"/>
      <w:szCs w:val="18"/>
    </w:rPr>
  </w:style>
  <w:style w:type="character" w:styleId="Siln">
    <w:name w:val="Strong"/>
    <w:basedOn w:val="Standardnpsmoodstavce"/>
    <w:uiPriority w:val="22"/>
    <w:qFormat/>
    <w:rsid w:val="00E20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909E-ED5E-4802-87E9-7F7099F1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1776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Tučková Zuzana (MPSV)</cp:lastModifiedBy>
  <cp:revision>4</cp:revision>
  <cp:lastPrinted>2016-12-12T08:50:00Z</cp:lastPrinted>
  <dcterms:created xsi:type="dcterms:W3CDTF">2022-12-06T14:40:00Z</dcterms:created>
  <dcterms:modified xsi:type="dcterms:W3CDTF">2022-12-07T08:17:00Z</dcterms:modified>
</cp:coreProperties>
</file>