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2846" w:val="left"/>
          <w:tab w:leader="hyphen" w:pos="3110" w:val="left"/>
        </w:tabs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KRAJSKA SPRAVA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uuíwoa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»u»* .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REdiSTROVANA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048510" cy="30480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48510" cy="3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9"/>
        <w:keepNext/>
        <w:keepLines/>
        <w:widowControl w:val="0"/>
        <w:shd w:val="clear" w:color="auto" w:fill="auto"/>
        <w:tabs>
          <w:tab w:leader="dot" w:pos="4699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 č</w:t>
        <w:tab/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76" w:lineRule="auto"/>
        <w:ind w:left="66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se řídí § 2079 a násl. zákona č. 89/2012 Sb., občanského zákoníku v platném znění</w:t>
      </w:r>
    </w:p>
    <w:tbl>
      <w:tblPr>
        <w:tblOverlap w:val="never"/>
        <w:jc w:val="center"/>
        <w:tblLayout w:type="fixed"/>
      </w:tblPr>
      <w:tblGrid>
        <w:gridCol w:w="3374"/>
        <w:gridCol w:w="5683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I. Smluvní stranv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Prodávající: Krajská správa a údržba silnic Vysočiny, příspěvková organizace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 Radovanem Necidem - ředitelem</w:t>
      </w:r>
    </w:p>
    <w:tbl>
      <w:tblPr>
        <w:tblOverlap w:val="never"/>
        <w:jc w:val="center"/>
        <w:tblLayout w:type="fixed"/>
      </w:tblPr>
      <w:tblGrid>
        <w:gridCol w:w="3374"/>
        <w:gridCol w:w="5688"/>
      </w:tblGrid>
      <w:tr>
        <w:trPr>
          <w:trHeight w:val="5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8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organizace jednající ve věci: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• vedoucí výrobního oddělení Pelhřimov,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140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Myslotínská 1887, 393 82 Pelhřimov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3610" w:val="left"/>
        </w:tabs>
        <w:bidi w:val="0"/>
        <w:spacing w:before="0" w:after="0"/>
        <w:ind w:left="140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 zástupce oprávněný jednat ve věcech technických: vedoucí cestmistrovství Humpolec, tel.</w:t>
      </w:r>
    </w:p>
    <w:p>
      <w:pPr>
        <w:widowControl w:val="0"/>
        <w:spacing w:after="539" w:line="1" w:lineRule="exact"/>
      </w:pPr>
    </w:p>
    <w:tbl>
      <w:tblPr>
        <w:tblOverlap w:val="never"/>
        <w:jc w:val="left"/>
        <w:tblLayout w:type="fixed"/>
      </w:tblPr>
      <w:tblGrid>
        <w:gridCol w:w="1210"/>
        <w:gridCol w:w="6230"/>
      </w:tblGrid>
      <w:tr>
        <w:trPr>
          <w:trHeight w:val="17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Kupující: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Heavy Duty Services s.r.o.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Trojická 1907/8, Nové Město, 128 00 Praha 2 zastoupená: Ondřejem Kordovským - jednatelem společnosti tel. +420 776 744 600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104" w:val="left"/>
              </w:tabs>
              <w:bidi w:val="0"/>
              <w:spacing w:before="0" w:after="0" w:line="264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05559081</w:t>
              <w:tab/>
              <w:t>DIČ: CZ05559081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Raiffeisen bank, č.účtu: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6" w:val="left"/>
        </w:tabs>
        <w:bidi w:val="0"/>
        <w:spacing w:before="0" w:after="280" w:line="233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Předmět smlouvy</w:t>
      </w:r>
    </w:p>
    <w:p>
      <w:pPr>
        <w:pStyle w:val="Style1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23" w:val="left"/>
        </w:tabs>
        <w:bidi w:val="0"/>
        <w:spacing w:before="0" w:line="233" w:lineRule="auto"/>
        <w:ind w:left="0" w:right="0" w:firstLine="36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cs-CZ" w:eastAsia="cs-CZ" w:bidi="cs-CZ"/>
        </w:rPr>
        <w:t xml:space="preserve">Předmětem smlouvy je: </w:t>
      </w:r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>Prodej posypové soli v zimním období roku 2022/2023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7" w:val="left"/>
        </w:tabs>
        <w:bidi w:val="0"/>
        <w:spacing w:before="0" w:after="280"/>
        <w:ind w:left="66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prodávané soli: dle skutečné potřeby kupujícího a s ohledem na množství skladových zásob prodávajícího.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7" w:val="left"/>
        </w:tabs>
        <w:bidi w:val="0"/>
        <w:spacing w:before="0" w:after="540" w:line="252" w:lineRule="auto"/>
        <w:ind w:left="66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touto smlouvou zavazuje k prodeji soli a kupující se zavazuje sůl převzít a zaplatit.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2" w:val="left"/>
        </w:tabs>
        <w:bidi w:val="0"/>
        <w:spacing w:before="0" w:after="540" w:line="233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Doba plnění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66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1.12.2022 do 31.3.2023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4" w:val="left"/>
        </w:tabs>
        <w:bidi w:val="0"/>
        <w:spacing w:before="0" w:after="26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Cena předmětu smlouvy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52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Smluvní cena: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3.500,- Kč za 1 tunu soli bez DPH (4.235,-Kč/t s DPH)</w:t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62" w:val="left"/>
        </w:tabs>
        <w:bidi w:val="0"/>
        <w:spacing w:before="0" w:after="560" w:line="240" w:lineRule="auto"/>
        <w:ind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Fakturační a platební podmínky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26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teto kupní smlouvy.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26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prováděna měsíčně a to nejpozději do 15. dne následujícího měsíce.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1" w:val="left"/>
        </w:tabs>
        <w:bidi w:val="0"/>
        <w:spacing w:before="0" w:after="52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87" w:val="left"/>
        </w:tabs>
        <w:bidi w:val="0"/>
        <w:spacing w:before="0" w:after="260" w:line="240" w:lineRule="auto"/>
        <w:ind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ujednání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č.89/2012 Sb., občanský zákoník, v platném znění.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4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výslovně souhlasí se zveřejněním celého textu této smlouvy včetně podpisů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32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smlouvy se dohodly, že zákonnou povinnost dle § 5 odst. 2 zákona č. 340/2015 Sb., v platném znění (zákon o registru smluv) splní prodávající.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týkající se smlouvy.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93" w:val="left"/>
        </w:tabs>
        <w:bidi w:val="0"/>
        <w:spacing w:before="0" w:after="26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sepsána ve dvou vyhotoveních, z nichž každá smluvní strana obdrží po jednom.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8" w:val="left"/>
        </w:tabs>
        <w:bidi w:val="0"/>
        <w:spacing w:before="0" w:after="300" w:line="264" w:lineRule="auto"/>
        <w:ind w:left="300" w:right="0" w:hanging="30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0" w:left="1281" w:right="1394" w:bottom="1883" w:header="0" w:footer="1455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>
      <w:pPr>
        <w:pStyle w:val="Style7"/>
        <w:keepNext w:val="0"/>
        <w:keepLines w:val="0"/>
        <w:framePr w:w="1426" w:h="293" w:wrap="none" w:hAnchor="page" w:x="1312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23"/>
        <w:keepNext w:val="0"/>
        <w:keepLines w:val="0"/>
        <w:framePr w:w="1224" w:h="341" w:wrap="none" w:hAnchor="page" w:x="2886" w:y="1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0 5. 12. 2022</w:t>
      </w:r>
    </w:p>
    <w:p>
      <w:pPr>
        <w:pStyle w:val="Style7"/>
        <w:keepNext w:val="0"/>
        <w:keepLines w:val="0"/>
        <w:framePr w:w="1339" w:h="317" w:wrap="none" w:hAnchor="page" w:x="682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</w:t>
      </w:r>
    </w:p>
    <w:p>
      <w:pPr>
        <w:pStyle w:val="Style7"/>
        <w:keepNext w:val="0"/>
        <w:keepLines w:val="0"/>
        <w:framePr w:w="1210" w:h="307" w:wrap="none" w:hAnchor="page" w:x="131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7"/>
        <w:keepNext w:val="0"/>
        <w:keepLines w:val="0"/>
        <w:framePr w:w="960" w:h="312" w:wrap="none" w:hAnchor="page" w:x="6789" w:y="8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</w:p>
    <w:p>
      <w:pPr>
        <w:pStyle w:val="Style7"/>
        <w:keepNext w:val="0"/>
        <w:keepLines w:val="0"/>
        <w:framePr w:w="1978" w:h="595" w:wrap="none" w:hAnchor="page" w:x="1326" w:y="269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7"/>
        <w:keepNext w:val="0"/>
        <w:keepLines w:val="0"/>
        <w:framePr w:w="2035" w:h="590" w:wrap="none" w:hAnchor="page" w:x="6726" w:y="265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Ondřej Kordovský jednatel společnosti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426" w:left="1311" w:right="3140" w:bottom="1426" w:header="0" w:footer="99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Nadpis #2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Nadpis #1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CharStyle24">
    <w:name w:val="Základní text (2)_"/>
    <w:basedOn w:val="DefaultParagraphFont"/>
    <w:link w:val="Style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29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after="29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  <w:spacing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spacing w:after="280"/>
      <w:ind w:left="2980" w:firstLine="18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</w:pPr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