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EA4F" w14:textId="77777777"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14:paraId="2EF6D4DB" w14:textId="77777777" w:rsidR="006331C8" w:rsidRDefault="006331C8" w:rsidP="00EA3785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right"/>
        <w:rPr>
          <w:rFonts w:ascii="Cambria" w:hAnsi="Cambria"/>
          <w:b/>
          <w:sz w:val="32"/>
          <w:u w:val="single"/>
        </w:rPr>
      </w:pPr>
    </w:p>
    <w:p w14:paraId="4E50AEA6" w14:textId="77777777"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14:paraId="0848EF06" w14:textId="77777777"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F70C49">
        <w:rPr>
          <w:rFonts w:ascii="Cambria" w:hAnsi="Cambria"/>
          <w:b/>
          <w:sz w:val="24"/>
          <w:szCs w:val="24"/>
        </w:rPr>
        <w:t>272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8116F6">
        <w:rPr>
          <w:rFonts w:ascii="Cambria" w:hAnsi="Cambria"/>
          <w:b/>
          <w:sz w:val="24"/>
          <w:szCs w:val="24"/>
        </w:rPr>
        <w:t>2</w:t>
      </w:r>
      <w:r w:rsidR="00066951">
        <w:rPr>
          <w:rFonts w:ascii="Cambria" w:hAnsi="Cambria"/>
          <w:b/>
          <w:sz w:val="24"/>
          <w:szCs w:val="24"/>
        </w:rPr>
        <w:t>/01</w:t>
      </w:r>
    </w:p>
    <w:p w14:paraId="71066F0D" w14:textId="77777777"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14:paraId="1EDF3691" w14:textId="77777777"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 xml:space="preserve"> ust.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14:paraId="743D216E" w14:textId="77777777"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14:paraId="6838611C" w14:textId="1C10F6A6"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 xml:space="preserve">Městský obvod </w:t>
      </w:r>
      <w:r w:rsidR="00581E6F" w:rsidRPr="00EA3785">
        <w:rPr>
          <w:rFonts w:ascii="Cambria" w:hAnsi="Cambria"/>
          <w:b/>
          <w:bCs/>
          <w:sz w:val="22"/>
          <w:szCs w:val="22"/>
          <w:u w:val="single"/>
        </w:rPr>
        <w:t>Liberec – Vratislavice</w:t>
      </w:r>
      <w:r w:rsidRPr="00EA3785">
        <w:rPr>
          <w:rFonts w:ascii="Cambria" w:hAnsi="Cambria"/>
          <w:b/>
          <w:bCs/>
          <w:sz w:val="22"/>
          <w:szCs w:val="22"/>
          <w:u w:val="single"/>
        </w:rPr>
        <w:t xml:space="preserve"> nad Nisou</w:t>
      </w:r>
    </w:p>
    <w:p w14:paraId="55F25B98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14:paraId="4DB0A9B0" w14:textId="77777777" w:rsidR="00E4632B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84222D" w:rsidRPr="00EA3785">
        <w:rPr>
          <w:rFonts w:ascii="Cambria" w:hAnsi="Cambria"/>
          <w:sz w:val="22"/>
          <w:szCs w:val="22"/>
        </w:rPr>
        <w:t>Lukášem Pohankou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E4632B" w:rsidRPr="00EA3785">
        <w:rPr>
          <w:rFonts w:ascii="Cambria" w:hAnsi="Cambria"/>
          <w:sz w:val="22"/>
          <w:szCs w:val="22"/>
        </w:rPr>
        <w:t>starostou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</w:p>
    <w:p w14:paraId="0D6AAC1E" w14:textId="77777777"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IČO: 262978</w:t>
      </w:r>
    </w:p>
    <w:p w14:paraId="5059B2F2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14:paraId="1C32C2A9" w14:textId="77777777"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14:paraId="62629194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14:paraId="7A77BFD7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14:paraId="5F079C94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14:paraId="420ED52C" w14:textId="77777777"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14:paraId="4E14D90B" w14:textId="0DDC8FA4" w:rsidR="00905876" w:rsidRPr="00581E6F" w:rsidRDefault="00EA600C" w:rsidP="00581E6F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</w:rPr>
      </w:pPr>
      <w:r w:rsidRPr="00581E6F">
        <w:rPr>
          <w:rFonts w:ascii="Cambria" w:hAnsi="Cambria"/>
          <w:b/>
          <w:bCs/>
          <w:sz w:val="22"/>
          <w:szCs w:val="22"/>
        </w:rPr>
        <w:t>Mjölking s.r.o.</w:t>
      </w:r>
    </w:p>
    <w:p w14:paraId="67195A95" w14:textId="77777777" w:rsidR="00EA600C" w:rsidRDefault="004005D2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>se sídlem</w:t>
      </w:r>
      <w:r w:rsidR="00F618AE" w:rsidRPr="00C25A1A">
        <w:rPr>
          <w:rFonts w:ascii="Cambria" w:hAnsi="Cambria"/>
          <w:sz w:val="22"/>
          <w:szCs w:val="22"/>
        </w:rPr>
        <w:t xml:space="preserve"> </w:t>
      </w:r>
      <w:r w:rsidR="00EA600C" w:rsidRPr="00EA600C">
        <w:rPr>
          <w:rFonts w:ascii="Cambria" w:hAnsi="Cambria"/>
          <w:sz w:val="22"/>
          <w:szCs w:val="22"/>
        </w:rPr>
        <w:t>Šternovská 2304/6</w:t>
      </w:r>
      <w:r w:rsidR="00EA600C">
        <w:rPr>
          <w:rFonts w:ascii="Cambria" w:hAnsi="Cambria"/>
          <w:sz w:val="22"/>
          <w:szCs w:val="22"/>
        </w:rPr>
        <w:t xml:space="preserve">, </w:t>
      </w:r>
      <w:r w:rsidR="00EA600C" w:rsidRPr="00EA600C">
        <w:rPr>
          <w:rFonts w:ascii="Cambria" w:hAnsi="Cambria"/>
          <w:sz w:val="22"/>
          <w:szCs w:val="22"/>
        </w:rPr>
        <w:t>149 00 Praha</w:t>
      </w:r>
    </w:p>
    <w:p w14:paraId="2F153078" w14:textId="056A6F24" w:rsidR="00C25A1A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 xml:space="preserve">zastoupená </w:t>
      </w:r>
      <w:r w:rsidR="00581E6F">
        <w:rPr>
          <w:rFonts w:ascii="Cambria" w:hAnsi="Cambria"/>
          <w:sz w:val="22"/>
          <w:szCs w:val="22"/>
        </w:rPr>
        <w:t>Ing. Michalem Hejzlarem</w:t>
      </w:r>
    </w:p>
    <w:p w14:paraId="5AF1328D" w14:textId="52B4ECC8" w:rsidR="00C25A1A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 xml:space="preserve">IČ: </w:t>
      </w:r>
      <w:r w:rsidR="00EA600C" w:rsidRPr="00EA600C">
        <w:rPr>
          <w:rFonts w:ascii="Cambria" w:hAnsi="Cambria"/>
          <w:sz w:val="22"/>
          <w:szCs w:val="22"/>
        </w:rPr>
        <w:t>14080923</w:t>
      </w:r>
    </w:p>
    <w:p w14:paraId="722D2595" w14:textId="3010EE1F" w:rsidR="00905876" w:rsidRPr="00C25A1A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 xml:space="preserve">DIČ: </w:t>
      </w:r>
      <w:r w:rsidR="00EA600C">
        <w:rPr>
          <w:rFonts w:ascii="Cambria" w:hAnsi="Cambria"/>
          <w:sz w:val="22"/>
          <w:szCs w:val="22"/>
        </w:rPr>
        <w:t>CZ</w:t>
      </w:r>
      <w:r w:rsidR="00EA600C" w:rsidRPr="00EA600C">
        <w:rPr>
          <w:rFonts w:ascii="Cambria" w:hAnsi="Cambria"/>
          <w:sz w:val="22"/>
          <w:szCs w:val="22"/>
        </w:rPr>
        <w:t>14080923</w:t>
      </w:r>
    </w:p>
    <w:p w14:paraId="4907C794" w14:textId="7E13CC80" w:rsidR="00B913AB" w:rsidRPr="00581E6F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581E6F">
        <w:rPr>
          <w:rFonts w:ascii="Cambria" w:hAnsi="Cambria"/>
          <w:sz w:val="22"/>
          <w:szCs w:val="22"/>
        </w:rPr>
        <w:t xml:space="preserve">bankovní spojení: </w:t>
      </w:r>
      <w:r w:rsidR="00B913AB" w:rsidRPr="00581E6F">
        <w:rPr>
          <w:rFonts w:ascii="Cambria" w:hAnsi="Cambria"/>
          <w:sz w:val="22"/>
          <w:szCs w:val="22"/>
        </w:rPr>
        <w:t>‎</w:t>
      </w:r>
      <w:proofErr w:type="spellStart"/>
      <w:r w:rsidR="00581E6F">
        <w:rPr>
          <w:rFonts w:ascii="Cambria" w:hAnsi="Cambria"/>
          <w:sz w:val="22"/>
          <w:szCs w:val="22"/>
        </w:rPr>
        <w:t>Raiffeisen</w:t>
      </w:r>
      <w:proofErr w:type="spellEnd"/>
      <w:r w:rsidR="00581E6F">
        <w:rPr>
          <w:rFonts w:ascii="Cambria" w:hAnsi="Cambria"/>
          <w:sz w:val="22"/>
          <w:szCs w:val="22"/>
        </w:rPr>
        <w:t xml:space="preserve"> Bank</w:t>
      </w:r>
    </w:p>
    <w:p w14:paraId="4A805BBF" w14:textId="56A521C3" w:rsidR="00905876" w:rsidRPr="00C25A1A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 xml:space="preserve">číslo účtu: </w:t>
      </w:r>
      <w:r w:rsidR="00581E6F" w:rsidRPr="00581E6F">
        <w:rPr>
          <w:rFonts w:ascii="Cambria" w:hAnsi="Cambria"/>
          <w:sz w:val="22"/>
          <w:szCs w:val="22"/>
        </w:rPr>
        <w:t>6080045010/5500</w:t>
      </w:r>
    </w:p>
    <w:p w14:paraId="394C8634" w14:textId="01236462" w:rsidR="00905876" w:rsidRPr="00C25A1A" w:rsidRDefault="00B913AB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 xml:space="preserve">zapsaná u </w:t>
      </w:r>
      <w:r w:rsidR="00581E6F">
        <w:rPr>
          <w:rFonts w:ascii="Cambria" w:hAnsi="Cambria"/>
          <w:sz w:val="22"/>
          <w:szCs w:val="22"/>
        </w:rPr>
        <w:t>Městského soudu v</w:t>
      </w:r>
      <w:r w:rsidR="00333175">
        <w:rPr>
          <w:rFonts w:ascii="Cambria" w:hAnsi="Cambria"/>
          <w:sz w:val="22"/>
          <w:szCs w:val="22"/>
        </w:rPr>
        <w:t> </w:t>
      </w:r>
      <w:r w:rsidR="00581E6F">
        <w:rPr>
          <w:rFonts w:ascii="Cambria" w:hAnsi="Cambria"/>
          <w:sz w:val="22"/>
          <w:szCs w:val="22"/>
        </w:rPr>
        <w:t>Praze</w:t>
      </w:r>
      <w:r w:rsidR="00333175">
        <w:rPr>
          <w:rFonts w:ascii="Cambria" w:hAnsi="Cambria"/>
          <w:sz w:val="22"/>
          <w:szCs w:val="22"/>
        </w:rPr>
        <w:t xml:space="preserve">, spisová značka C 360237 </w:t>
      </w:r>
      <w:r w:rsidR="00581E6F">
        <w:rPr>
          <w:rFonts w:ascii="Cambria" w:hAnsi="Cambria"/>
          <w:sz w:val="22"/>
          <w:szCs w:val="22"/>
        </w:rPr>
        <w:t xml:space="preserve"> </w:t>
      </w:r>
    </w:p>
    <w:p w14:paraId="47C54E3C" w14:textId="77777777" w:rsidR="001A689D" w:rsidRPr="00EA3785" w:rsidRDefault="00905876" w:rsidP="00581E6F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C25A1A">
        <w:rPr>
          <w:rFonts w:ascii="Cambria" w:hAnsi="Cambria"/>
          <w:sz w:val="22"/>
          <w:szCs w:val="22"/>
        </w:rPr>
        <w:t>dále jen „zhotovitel“</w:t>
      </w:r>
    </w:p>
    <w:p w14:paraId="7757295D" w14:textId="77777777"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14:paraId="65DABF42" w14:textId="77777777"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14:paraId="13E8252A" w14:textId="77777777"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14:paraId="4BE67C19" w14:textId="77777777"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14:paraId="64339BA1" w14:textId="77777777"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14:paraId="2AE65372" w14:textId="77777777"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611BFBBA" w14:textId="77777777"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14:paraId="0994FB12" w14:textId="77777777"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 xml:space="preserve">. Při změně </w:t>
      </w:r>
      <w:r w:rsidRPr="00EA3785">
        <w:rPr>
          <w:rFonts w:ascii="Cambria" w:hAnsi="Cambria"/>
          <w:sz w:val="22"/>
          <w:szCs w:val="22"/>
        </w:rPr>
        <w:lastRenderedPageBreak/>
        <w:t>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14:paraId="3370959E" w14:textId="38544E30"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projektové dokumentace </w:t>
      </w:r>
      <w:r w:rsidR="00333175">
        <w:rPr>
          <w:rFonts w:ascii="Cambria" w:hAnsi="Cambria"/>
          <w:b/>
          <w:i/>
          <w:sz w:val="22"/>
          <w:szCs w:val="22"/>
        </w:rPr>
        <w:t xml:space="preserve">DSP </w:t>
      </w:r>
      <w:r w:rsidR="00333175" w:rsidRPr="00EA3785">
        <w:rPr>
          <w:rFonts w:ascii="Cambria" w:hAnsi="Cambria"/>
          <w:b/>
          <w:i/>
          <w:sz w:val="22"/>
          <w:szCs w:val="22"/>
        </w:rPr>
        <w:t>Nábřeží</w:t>
      </w:r>
      <w:r w:rsidR="0089442E">
        <w:rPr>
          <w:rFonts w:ascii="Cambria" w:hAnsi="Cambria"/>
          <w:b/>
          <w:i/>
          <w:sz w:val="22"/>
          <w:szCs w:val="22"/>
        </w:rPr>
        <w:t xml:space="preserve"> Vratislavice vč. zajištění IČ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14:paraId="01288B18" w14:textId="77777777"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14:paraId="0B6CD025" w14:textId="77777777"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6879C64D" w14:textId="77777777"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14:paraId="22B9596B" w14:textId="77777777" w:rsidR="006D7424" w:rsidRPr="00EA3785" w:rsidRDefault="00377932" w:rsidP="00117ABE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14:paraId="3BA82D25" w14:textId="77777777"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14:paraId="3DD8C506" w14:textId="77777777"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14:paraId="400B5630" w14:textId="77777777"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14:paraId="0DF65591" w14:textId="77777777"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14:paraId="3E3D6541" w14:textId="77777777"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 xml:space="preserve">zpracovat </w:t>
      </w:r>
      <w:r w:rsidRPr="0017165E">
        <w:rPr>
          <w:rFonts w:asciiTheme="majorHAnsi" w:hAnsiTheme="majorHAnsi"/>
          <w:i/>
          <w:sz w:val="22"/>
          <w:szCs w:val="22"/>
        </w:rPr>
        <w:t xml:space="preserve">projektovou dokumentaci </w:t>
      </w:r>
      <w:r w:rsidR="00537134" w:rsidRPr="0017165E">
        <w:rPr>
          <w:rFonts w:asciiTheme="majorHAnsi" w:hAnsiTheme="majorHAnsi"/>
          <w:i/>
          <w:sz w:val="22"/>
          <w:szCs w:val="22"/>
        </w:rPr>
        <w:t>ve stupni D</w:t>
      </w:r>
      <w:r w:rsidR="00F82EC4">
        <w:rPr>
          <w:rFonts w:asciiTheme="majorHAnsi" w:hAnsiTheme="majorHAnsi"/>
          <w:i/>
          <w:sz w:val="22"/>
          <w:szCs w:val="22"/>
        </w:rPr>
        <w:t>SP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Pr="0017165E">
        <w:rPr>
          <w:rFonts w:asciiTheme="majorHAnsi" w:hAnsiTheme="majorHAnsi"/>
          <w:i/>
          <w:sz w:val="22"/>
          <w:szCs w:val="22"/>
        </w:rPr>
        <w:t xml:space="preserve">na </w:t>
      </w:r>
      <w:r w:rsidR="00781E28" w:rsidRPr="0017165E">
        <w:rPr>
          <w:rFonts w:asciiTheme="majorHAnsi" w:hAnsiTheme="majorHAnsi"/>
          <w:i/>
          <w:sz w:val="22"/>
          <w:szCs w:val="22"/>
        </w:rPr>
        <w:t>revitalizaci Nábřeží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ve Vratislavicích nad Nisou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14:paraId="546256B0" w14:textId="77777777" w:rsidR="00537134" w:rsidRPr="0017165E" w:rsidRDefault="0089172A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 Vypracování dokumentace pro </w:t>
      </w:r>
      <w:r w:rsidR="00F82EC4">
        <w:rPr>
          <w:rFonts w:asciiTheme="majorHAnsi" w:hAnsiTheme="majorHAnsi"/>
          <w:i/>
        </w:rPr>
        <w:t>stavební povolení</w:t>
      </w:r>
      <w:r w:rsidRPr="0017165E">
        <w:rPr>
          <w:rFonts w:asciiTheme="majorHAnsi" w:hAnsiTheme="majorHAnsi"/>
          <w:i/>
        </w:rPr>
        <w:t xml:space="preserve"> (dále jen D</w:t>
      </w:r>
      <w:r w:rsidR="00F82EC4">
        <w:rPr>
          <w:rFonts w:asciiTheme="majorHAnsi" w:hAnsiTheme="majorHAnsi"/>
          <w:i/>
        </w:rPr>
        <w:t>SP</w:t>
      </w:r>
      <w:r w:rsidRPr="0017165E">
        <w:rPr>
          <w:rFonts w:asciiTheme="majorHAnsi" w:hAnsiTheme="majorHAnsi"/>
          <w:i/>
        </w:rPr>
        <w:t>)</w:t>
      </w:r>
      <w:r w:rsidR="00537134" w:rsidRPr="0017165E">
        <w:rPr>
          <w:rFonts w:asciiTheme="majorHAnsi" w:hAnsiTheme="majorHAnsi"/>
          <w:i/>
        </w:rPr>
        <w:t xml:space="preserve"> dle vyhlášky 499/2006 Sb., o dokumentaci staveb (zprávy, situace, půdorysy, řezy, pohledy), vč. koncepční koordinace všech profesí</w:t>
      </w:r>
    </w:p>
    <w:p w14:paraId="5BA4833D" w14:textId="77777777" w:rsidR="00537134" w:rsidRPr="0017165E" w:rsidRDefault="00537134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Zpracovatel zapracuje připomínky veřejnoprávních orgánů a organizací, kteří se vyjadřují k dokumentaci pro </w:t>
      </w:r>
      <w:r w:rsidR="00F82EC4">
        <w:rPr>
          <w:rFonts w:asciiTheme="majorHAnsi" w:hAnsiTheme="majorHAnsi"/>
          <w:i/>
        </w:rPr>
        <w:t>stavební povolení</w:t>
      </w:r>
    </w:p>
    <w:p w14:paraId="514BAB2D" w14:textId="77777777" w:rsidR="00537134" w:rsidRDefault="00537134" w:rsidP="00537134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Projektová dokumentace bude plně respektovat zpracovanou </w:t>
      </w:r>
      <w:r w:rsidR="00F82EC4">
        <w:rPr>
          <w:rFonts w:asciiTheme="majorHAnsi" w:hAnsiTheme="majorHAnsi"/>
          <w:i/>
        </w:rPr>
        <w:t>dokumentaci DUR</w:t>
      </w:r>
      <w:r w:rsidRPr="0017165E">
        <w:rPr>
          <w:rFonts w:asciiTheme="majorHAnsi" w:hAnsiTheme="majorHAnsi"/>
          <w:i/>
        </w:rPr>
        <w:t xml:space="preserve"> </w:t>
      </w:r>
    </w:p>
    <w:p w14:paraId="5EF2CC64" w14:textId="77777777" w:rsidR="0017165E" w:rsidRPr="0017165E" w:rsidRDefault="0017165E" w:rsidP="00537134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Zhotovitel zajistí vydání </w:t>
      </w:r>
      <w:r w:rsidR="00F82EC4">
        <w:rPr>
          <w:rFonts w:asciiTheme="majorHAnsi" w:hAnsiTheme="majorHAnsi"/>
          <w:i/>
        </w:rPr>
        <w:t>stavebního povolení</w:t>
      </w:r>
      <w:r>
        <w:rPr>
          <w:rFonts w:asciiTheme="majorHAnsi" w:hAnsiTheme="majorHAnsi"/>
          <w:i/>
        </w:rPr>
        <w:t xml:space="preserve"> stavby v právní moci</w:t>
      </w:r>
    </w:p>
    <w:p w14:paraId="2397F983" w14:textId="77777777" w:rsidR="0089172A" w:rsidRPr="00537134" w:rsidRDefault="0089172A" w:rsidP="00537134">
      <w:pPr>
        <w:pStyle w:val="NADPISCENNETUC"/>
        <w:widowControl w:val="0"/>
        <w:spacing w:after="0" w:line="276" w:lineRule="auto"/>
        <w:jc w:val="both"/>
        <w:rPr>
          <w:rFonts w:ascii="Cambria" w:hAnsi="Cambria"/>
          <w:i/>
          <w:color w:val="000000"/>
          <w:sz w:val="22"/>
          <w:szCs w:val="22"/>
        </w:rPr>
      </w:pPr>
    </w:p>
    <w:p w14:paraId="184BE09F" w14:textId="77777777"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14:paraId="31F4F8EC" w14:textId="1427B9B6"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</w:t>
      </w:r>
      <w:r w:rsidR="00333175" w:rsidRPr="00EA3785">
        <w:rPr>
          <w:rFonts w:ascii="Cambria" w:hAnsi="Cambria"/>
          <w:sz w:val="22"/>
          <w:szCs w:val="22"/>
        </w:rPr>
        <w:t>a předání</w:t>
      </w:r>
      <w:r w:rsidRPr="00EA3785">
        <w:rPr>
          <w:rFonts w:ascii="Cambria" w:hAnsi="Cambria"/>
          <w:sz w:val="22"/>
          <w:szCs w:val="22"/>
        </w:rPr>
        <w:t xml:space="preserve"> všech stupňů PD (1-7)  zadavateli ve čtyřech písemných a 2x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537134">
        <w:rPr>
          <w:rFonts w:ascii="Cambria" w:hAnsi="Cambria"/>
          <w:sz w:val="22"/>
          <w:szCs w:val="22"/>
        </w:rPr>
        <w:t>.</w:t>
      </w:r>
    </w:p>
    <w:p w14:paraId="1DFE4250" w14:textId="77777777" w:rsidR="007907A2" w:rsidRPr="00EA3785" w:rsidRDefault="0095191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14:paraId="3E42C2F7" w14:textId="77777777"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223E57A6" w14:textId="77777777"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14:paraId="4CB52D95" w14:textId="77777777"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14:paraId="5DA28265" w14:textId="77777777"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14:paraId="3E7151A8" w14:textId="77777777"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14:paraId="1C566244" w14:textId="77777777"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14:paraId="39048213" w14:textId="77777777"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14:paraId="7CFEF5A8" w14:textId="77777777" w:rsidR="0017165E" w:rsidRPr="0017165E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etapy </w:t>
      </w:r>
      <w:r w:rsidRPr="00EA3785">
        <w:rPr>
          <w:rFonts w:ascii="Cambria" w:hAnsi="Cambria"/>
          <w:sz w:val="22"/>
          <w:szCs w:val="22"/>
        </w:rPr>
        <w:t xml:space="preserve">nejpozději do </w:t>
      </w:r>
      <w:proofErr w:type="gramStart"/>
      <w:r w:rsidR="00537134" w:rsidRPr="00537134">
        <w:rPr>
          <w:rFonts w:ascii="Cambria" w:hAnsi="Cambria"/>
          <w:b/>
          <w:sz w:val="22"/>
          <w:szCs w:val="22"/>
        </w:rPr>
        <w:t>3</w:t>
      </w:r>
      <w:r w:rsidR="000622BC">
        <w:rPr>
          <w:rFonts w:ascii="Cambria" w:hAnsi="Cambria"/>
          <w:b/>
          <w:sz w:val="22"/>
          <w:szCs w:val="22"/>
        </w:rPr>
        <w:t>0</w:t>
      </w:r>
      <w:r w:rsidR="00537134" w:rsidRPr="00537134">
        <w:rPr>
          <w:rFonts w:ascii="Cambria" w:hAnsi="Cambria"/>
          <w:b/>
          <w:sz w:val="22"/>
          <w:szCs w:val="22"/>
        </w:rPr>
        <w:t>.</w:t>
      </w:r>
      <w:r w:rsidR="00537134">
        <w:rPr>
          <w:rFonts w:ascii="Cambria" w:hAnsi="Cambria"/>
          <w:b/>
          <w:sz w:val="22"/>
          <w:szCs w:val="22"/>
        </w:rPr>
        <w:t>0</w:t>
      </w:r>
      <w:r w:rsidR="000622BC">
        <w:rPr>
          <w:rFonts w:ascii="Cambria" w:hAnsi="Cambria"/>
          <w:b/>
          <w:sz w:val="22"/>
          <w:szCs w:val="22"/>
        </w:rPr>
        <w:t>6</w:t>
      </w:r>
      <w:r w:rsidR="00537134" w:rsidRPr="00537134">
        <w:rPr>
          <w:rFonts w:ascii="Cambria" w:hAnsi="Cambria"/>
          <w:b/>
          <w:sz w:val="22"/>
          <w:szCs w:val="22"/>
        </w:rPr>
        <w:t>.202</w:t>
      </w:r>
      <w:r w:rsidR="00F82EC4">
        <w:rPr>
          <w:rFonts w:ascii="Cambria" w:hAnsi="Cambria"/>
          <w:b/>
          <w:sz w:val="22"/>
          <w:szCs w:val="22"/>
        </w:rPr>
        <w:t>3</w:t>
      </w:r>
      <w:proofErr w:type="gramEnd"/>
      <w:r w:rsidR="0017165E">
        <w:rPr>
          <w:rFonts w:ascii="Cambria" w:hAnsi="Cambria"/>
          <w:b/>
          <w:sz w:val="22"/>
          <w:szCs w:val="22"/>
        </w:rPr>
        <w:t xml:space="preserve"> </w:t>
      </w:r>
      <w:r w:rsidR="0017165E" w:rsidRPr="0017165E">
        <w:rPr>
          <w:bCs/>
        </w:rPr>
        <w:t>termín pro zajištění územního rozhodnutí je do</w:t>
      </w:r>
      <w:r w:rsidR="0017165E" w:rsidRPr="0017165E">
        <w:rPr>
          <w:bCs/>
          <w:color w:val="FF0000"/>
        </w:rPr>
        <w:t xml:space="preserve"> </w:t>
      </w:r>
      <w:r w:rsidR="0017165E" w:rsidRPr="00401992">
        <w:rPr>
          <w:bCs/>
        </w:rPr>
        <w:t>15-ti týdnů od podání žádosti na Stavební úřad v Liberci</w:t>
      </w:r>
    </w:p>
    <w:p w14:paraId="5C23174E" w14:textId="77777777" w:rsidR="0089172A" w:rsidRPr="00EA3785" w:rsidRDefault="0089172A" w:rsidP="00537134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</w:p>
    <w:p w14:paraId="4941ED1E" w14:textId="77777777"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14:paraId="01327351" w14:textId="77777777"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14:paraId="077E8E9F" w14:textId="77777777"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14:paraId="1D3212FA" w14:textId="77777777"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14:paraId="250EBC0E" w14:textId="77777777"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14:paraId="41511BE5" w14:textId="77777777"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14:paraId="5FA8083A" w14:textId="77777777"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14:paraId="4C508E1C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14:paraId="4968975F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14:paraId="4C83F120" w14:textId="77777777"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14:paraId="7CC63BC0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14:paraId="5BEF40DD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14:paraId="049851E7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14:paraId="628AC8CF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14:paraId="01468864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14:paraId="09EB19FB" w14:textId="77777777"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14:paraId="1B5067C3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14:paraId="76A95DF2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14:paraId="5A85F4A7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14:paraId="600783E8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14:paraId="1B5C41F0" w14:textId="77777777"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14:paraId="3D5A41D2" w14:textId="77777777"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14:paraId="4A9BE084" w14:textId="77777777"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14:paraId="59010FE1" w14:textId="77777777"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14:paraId="18CB021B" w14:textId="77777777"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14:paraId="3F1C97B5" w14:textId="77777777"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14:paraId="46F4C2AF" w14:textId="77777777"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14:paraId="36DD9BCD" w14:textId="77777777"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14:paraId="6EAED459" w14:textId="77777777"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14:paraId="4415421C" w14:textId="77777777" w:rsidR="00D97272" w:rsidRPr="00EA3785" w:rsidRDefault="00C419A6" w:rsidP="009D2A51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14:paraId="59FECEF4" w14:textId="025052CF" w:rsidR="001E00F7" w:rsidRPr="00EA3785" w:rsidRDefault="001E00F7" w:rsidP="00813555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1F565011" w14:textId="77777777"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14:paraId="4D4A6575" w14:textId="77777777"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14:paraId="3A2305B5" w14:textId="0EBD822E" w:rsidR="00DE20AE" w:rsidRPr="006F66A3" w:rsidRDefault="00333175" w:rsidP="006F66A3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6F66A3">
        <w:rPr>
          <w:rFonts w:ascii="Cambria" w:hAnsi="Cambria"/>
          <w:sz w:val="22"/>
          <w:szCs w:val="22"/>
        </w:rPr>
        <w:t>1.880.250</w:t>
      </w:r>
      <w:r w:rsidR="00DE20AE" w:rsidRPr="006F66A3">
        <w:rPr>
          <w:rFonts w:ascii="Cambria" w:hAnsi="Cambria"/>
          <w:sz w:val="22"/>
          <w:szCs w:val="22"/>
        </w:rPr>
        <w:t>,</w:t>
      </w:r>
      <w:r w:rsidR="00753397" w:rsidRPr="006F66A3">
        <w:rPr>
          <w:rFonts w:ascii="Cambria" w:hAnsi="Cambria"/>
          <w:sz w:val="22"/>
          <w:szCs w:val="22"/>
        </w:rPr>
        <w:t>00</w:t>
      </w:r>
      <w:r w:rsidR="00DE20AE" w:rsidRPr="006F66A3">
        <w:rPr>
          <w:rFonts w:ascii="Cambria" w:hAnsi="Cambria"/>
          <w:sz w:val="22"/>
          <w:szCs w:val="22"/>
        </w:rPr>
        <w:t xml:space="preserve"> </w:t>
      </w:r>
      <w:r w:rsidR="00234697" w:rsidRPr="006F66A3">
        <w:rPr>
          <w:rFonts w:ascii="Cambria" w:hAnsi="Cambria"/>
          <w:sz w:val="22"/>
          <w:szCs w:val="22"/>
        </w:rPr>
        <w:t>Kč</w:t>
      </w:r>
      <w:r w:rsidR="001A68DA" w:rsidRPr="006F66A3">
        <w:rPr>
          <w:rFonts w:ascii="Cambria" w:hAnsi="Cambria"/>
          <w:sz w:val="22"/>
          <w:szCs w:val="22"/>
        </w:rPr>
        <w:t xml:space="preserve"> (slovy: </w:t>
      </w:r>
      <w:r w:rsidRPr="006F66A3">
        <w:rPr>
          <w:rFonts w:ascii="Cambria" w:hAnsi="Cambria"/>
          <w:sz w:val="22"/>
          <w:szCs w:val="22"/>
        </w:rPr>
        <w:t>jeden milionosmsetosmdesáttisícdvěstěpadesát</w:t>
      </w:r>
      <w:r w:rsidR="0017165E" w:rsidRPr="006F66A3">
        <w:rPr>
          <w:rFonts w:ascii="Cambria" w:hAnsi="Cambria"/>
          <w:sz w:val="22"/>
          <w:szCs w:val="22"/>
        </w:rPr>
        <w:t>korun</w:t>
      </w:r>
      <w:r w:rsidRPr="006F66A3">
        <w:rPr>
          <w:rFonts w:ascii="Cambria" w:hAnsi="Cambria"/>
          <w:sz w:val="22"/>
          <w:szCs w:val="22"/>
        </w:rPr>
        <w:t xml:space="preserve">) </w:t>
      </w:r>
      <w:r w:rsidR="0017165E" w:rsidRPr="006F66A3">
        <w:rPr>
          <w:rFonts w:ascii="Cambria" w:hAnsi="Cambria"/>
          <w:sz w:val="22"/>
          <w:szCs w:val="22"/>
        </w:rPr>
        <w:t>bez DPH</w:t>
      </w:r>
    </w:p>
    <w:p w14:paraId="6C9EC02D" w14:textId="52735986" w:rsidR="0017165E" w:rsidRPr="006F66A3" w:rsidRDefault="00333175" w:rsidP="006F66A3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6F66A3">
        <w:rPr>
          <w:rFonts w:ascii="Cambria" w:hAnsi="Cambria"/>
          <w:sz w:val="22"/>
          <w:szCs w:val="22"/>
        </w:rPr>
        <w:t>394852,5</w:t>
      </w:r>
      <w:r w:rsidR="00753397" w:rsidRPr="006F66A3">
        <w:rPr>
          <w:rFonts w:ascii="Cambria" w:hAnsi="Cambria"/>
          <w:sz w:val="22"/>
          <w:szCs w:val="22"/>
        </w:rPr>
        <w:t>0</w:t>
      </w:r>
      <w:r w:rsidRPr="006F66A3">
        <w:rPr>
          <w:rFonts w:ascii="Cambria" w:hAnsi="Cambria"/>
          <w:sz w:val="22"/>
          <w:szCs w:val="22"/>
        </w:rPr>
        <w:t xml:space="preserve"> </w:t>
      </w:r>
      <w:r w:rsidR="0017165E" w:rsidRPr="006F66A3">
        <w:rPr>
          <w:rFonts w:ascii="Cambria" w:hAnsi="Cambria"/>
          <w:sz w:val="22"/>
          <w:szCs w:val="22"/>
        </w:rPr>
        <w:t xml:space="preserve">Kč (slovy: </w:t>
      </w:r>
      <w:r w:rsidRPr="006F66A3">
        <w:rPr>
          <w:rFonts w:ascii="Cambria" w:hAnsi="Cambria"/>
          <w:sz w:val="22"/>
          <w:szCs w:val="22"/>
        </w:rPr>
        <w:t>třistadevadesátčtyřiticíceosmsetpadesátdvěkoruny</w:t>
      </w:r>
      <w:r w:rsidR="00753397" w:rsidRPr="006F66A3">
        <w:rPr>
          <w:rFonts w:ascii="Cambria" w:hAnsi="Cambria"/>
          <w:sz w:val="22"/>
          <w:szCs w:val="22"/>
        </w:rPr>
        <w:t>,</w:t>
      </w:r>
      <w:r w:rsidRPr="006F66A3">
        <w:rPr>
          <w:rFonts w:ascii="Cambria" w:hAnsi="Cambria"/>
          <w:sz w:val="22"/>
          <w:szCs w:val="22"/>
        </w:rPr>
        <w:t xml:space="preserve"> </w:t>
      </w:r>
      <w:r w:rsidR="00753397" w:rsidRPr="006F66A3">
        <w:rPr>
          <w:rFonts w:ascii="Cambria" w:hAnsi="Cambria"/>
          <w:sz w:val="22"/>
          <w:szCs w:val="22"/>
        </w:rPr>
        <w:t>padesát haléřů</w:t>
      </w:r>
      <w:r w:rsidR="0017165E" w:rsidRPr="006F66A3">
        <w:rPr>
          <w:rFonts w:ascii="Cambria" w:hAnsi="Cambria"/>
          <w:sz w:val="22"/>
          <w:szCs w:val="22"/>
        </w:rPr>
        <w:t xml:space="preserve">) </w:t>
      </w:r>
      <w:r w:rsidR="00753397" w:rsidRPr="006F66A3">
        <w:rPr>
          <w:rFonts w:ascii="Cambria" w:hAnsi="Cambria"/>
          <w:sz w:val="22"/>
          <w:szCs w:val="22"/>
        </w:rPr>
        <w:t>DPH</w:t>
      </w:r>
    </w:p>
    <w:p w14:paraId="1940577E" w14:textId="3B7736E0" w:rsidR="0017165E" w:rsidRPr="006F66A3" w:rsidRDefault="00333175" w:rsidP="006F66A3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6F66A3">
        <w:rPr>
          <w:rFonts w:ascii="Cambria" w:hAnsi="Cambria"/>
          <w:sz w:val="22"/>
          <w:szCs w:val="22"/>
        </w:rPr>
        <w:t>2.275.102,5</w:t>
      </w:r>
      <w:r w:rsidR="00753397" w:rsidRPr="006F66A3">
        <w:rPr>
          <w:rFonts w:ascii="Cambria" w:hAnsi="Cambria"/>
          <w:sz w:val="22"/>
          <w:szCs w:val="22"/>
        </w:rPr>
        <w:t>0</w:t>
      </w:r>
      <w:r w:rsidR="0017165E" w:rsidRPr="006F66A3">
        <w:rPr>
          <w:rFonts w:ascii="Cambria" w:hAnsi="Cambria"/>
          <w:sz w:val="22"/>
          <w:szCs w:val="22"/>
        </w:rPr>
        <w:t xml:space="preserve"> Kč (slovy: </w:t>
      </w:r>
      <w:r w:rsidRPr="006F66A3">
        <w:rPr>
          <w:rFonts w:ascii="Cambria" w:hAnsi="Cambria"/>
          <w:sz w:val="22"/>
          <w:szCs w:val="22"/>
        </w:rPr>
        <w:t>dvamiliony</w:t>
      </w:r>
      <w:r w:rsidR="000D4C89" w:rsidRPr="006F66A3">
        <w:rPr>
          <w:rFonts w:ascii="Cambria" w:hAnsi="Cambria"/>
          <w:sz w:val="22"/>
          <w:szCs w:val="22"/>
        </w:rPr>
        <w:t xml:space="preserve">dvěstěsedmdesátpěttisícstodvě koruny, </w:t>
      </w:r>
      <w:r w:rsidR="00753397" w:rsidRPr="006F66A3">
        <w:rPr>
          <w:rFonts w:ascii="Cambria" w:hAnsi="Cambria"/>
          <w:sz w:val="22"/>
          <w:szCs w:val="22"/>
        </w:rPr>
        <w:t>padesát haléřů</w:t>
      </w:r>
      <w:r w:rsidR="0017165E" w:rsidRPr="006F66A3">
        <w:rPr>
          <w:rFonts w:ascii="Cambria" w:hAnsi="Cambria"/>
          <w:sz w:val="22"/>
          <w:szCs w:val="22"/>
        </w:rPr>
        <w:t>) vč. DPH</w:t>
      </w:r>
    </w:p>
    <w:p w14:paraId="54694441" w14:textId="77777777"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14:paraId="656C5664" w14:textId="77777777"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14:paraId="083B1FEF" w14:textId="77777777"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14:paraId="5F44D2FD" w14:textId="3F91E5C7"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14:paraId="6E5F1278" w14:textId="03F3149C" w:rsidR="0017165E" w:rsidRPr="0017165E" w:rsidRDefault="0017165E" w:rsidP="0017165E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 xml:space="preserve">po předložení dokumentace návrhu (DNS) ve výši </w:t>
      </w:r>
      <w:r w:rsidR="000D4C89" w:rsidRPr="0017165E">
        <w:rPr>
          <w:rFonts w:asciiTheme="majorHAnsi" w:hAnsiTheme="majorHAnsi" w:cstheme="minorHAnsi"/>
          <w:bCs/>
        </w:rPr>
        <w:t>40 %</w:t>
      </w:r>
      <w:r w:rsidRPr="0017165E">
        <w:rPr>
          <w:rFonts w:asciiTheme="majorHAnsi" w:hAnsiTheme="majorHAnsi" w:cstheme="minorHAnsi"/>
          <w:bCs/>
        </w:rPr>
        <w:t xml:space="preserve"> z ceny díla bez DPH po vzájemném odsouhlasení zjišťovacího protokolu. Doba splatnosti faktur bude stanovena na 30 kalendářních dnů ode dne doručení daňového dokladu zadavateli.</w:t>
      </w:r>
    </w:p>
    <w:p w14:paraId="50546846" w14:textId="77777777" w:rsidR="0017165E" w:rsidRPr="0017165E" w:rsidRDefault="0017165E" w:rsidP="0017165E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>po předložení dokumentace ve stupni D</w:t>
      </w:r>
      <w:r w:rsidR="00F82EC4">
        <w:rPr>
          <w:rFonts w:asciiTheme="majorHAnsi" w:hAnsiTheme="majorHAnsi" w:cstheme="minorHAnsi"/>
          <w:bCs/>
        </w:rPr>
        <w:t>SP</w:t>
      </w:r>
      <w:r w:rsidRPr="0017165E">
        <w:rPr>
          <w:rFonts w:asciiTheme="majorHAnsi" w:hAnsiTheme="majorHAnsi" w:cstheme="minorHAnsi"/>
          <w:bCs/>
        </w:rPr>
        <w:t xml:space="preserve"> ve výši 50 % z ceny díla bez DPH po vzájemném odsouhlasení zjišťovacího protokolu. Doba splatnosti faktur bude stanovena na 30 kalendářních dnů ode dne doručení daňového dokladu zadavateli.</w:t>
      </w:r>
    </w:p>
    <w:p w14:paraId="513127CF" w14:textId="77777777" w:rsidR="0017165E" w:rsidRPr="00740673" w:rsidRDefault="0017165E" w:rsidP="00740673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 xml:space="preserve">po předložení </w:t>
      </w:r>
      <w:r w:rsidR="00F82EC4">
        <w:rPr>
          <w:rFonts w:asciiTheme="majorHAnsi" w:hAnsiTheme="majorHAnsi" w:cstheme="minorHAnsi"/>
          <w:bCs/>
        </w:rPr>
        <w:t>stavebního povolení</w:t>
      </w:r>
      <w:r w:rsidRPr="0017165E">
        <w:rPr>
          <w:rFonts w:asciiTheme="majorHAnsi" w:hAnsiTheme="majorHAnsi" w:cstheme="minorHAnsi"/>
          <w:bCs/>
        </w:rPr>
        <w:t xml:space="preserve"> v právní moci ve výši 10 % bez DPH po vzájemném odsouhlasení zjišťovacího protokolu. Doba splatnosti faktur bude stanovena na 30 kalendářních dnů ode dne doručení daňového dokladu zadavateli.</w:t>
      </w:r>
    </w:p>
    <w:p w14:paraId="65D11CFE" w14:textId="77777777" w:rsidR="00034CA8" w:rsidRPr="00EA3785" w:rsidRDefault="00740673" w:rsidP="00740673">
      <w:pPr>
        <w:pStyle w:val="Zkladntext"/>
        <w:widowControl w:val="0"/>
        <w:overflowPunct/>
        <w:autoSpaceDE/>
        <w:autoSpaceDN/>
        <w:adjustRightInd/>
        <w:spacing w:before="120" w:line="276" w:lineRule="auto"/>
        <w:ind w:left="720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101CD5" w:rsidRPr="00EA3785">
        <w:rPr>
          <w:rFonts w:ascii="Cambria" w:hAnsi="Cambria"/>
          <w:sz w:val="22"/>
          <w:szCs w:val="22"/>
        </w:rPr>
        <w:t xml:space="preserve">po předání díla </w:t>
      </w:r>
      <w:r w:rsidR="00A3515C" w:rsidRPr="00EA3785">
        <w:rPr>
          <w:rFonts w:ascii="Cambria" w:hAnsi="Cambria"/>
          <w:sz w:val="22"/>
          <w:szCs w:val="22"/>
        </w:rPr>
        <w:t xml:space="preserve">za předpokladu, že </w:t>
      </w:r>
      <w:r w:rsidR="00800979" w:rsidRPr="00EA3785">
        <w:rPr>
          <w:rFonts w:ascii="Cambria" w:hAnsi="Cambria"/>
          <w:sz w:val="22"/>
          <w:szCs w:val="22"/>
        </w:rPr>
        <w:t>podle článku V. této smlouvy je dílo akceptováno bez výhrad</w:t>
      </w:r>
      <w:r w:rsidR="004F3FEC" w:rsidRPr="00EA3785">
        <w:rPr>
          <w:rFonts w:ascii="Cambria" w:hAnsi="Cambria"/>
          <w:sz w:val="22"/>
          <w:szCs w:val="22"/>
        </w:rPr>
        <w:t xml:space="preserve"> a zhotovitel řádně splnil další závazky vyplývající z této smlouvy</w:t>
      </w:r>
      <w:r w:rsidR="00800979" w:rsidRPr="00EA3785">
        <w:rPr>
          <w:rFonts w:ascii="Cambria" w:hAnsi="Cambria"/>
          <w:sz w:val="22"/>
          <w:szCs w:val="22"/>
        </w:rPr>
        <w:t xml:space="preserve">. 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</w:p>
    <w:p w14:paraId="22523296" w14:textId="77777777"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14:paraId="466B7710" w14:textId="77777777"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14:paraId="23C38119" w14:textId="77777777"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14:paraId="1E3C5F38" w14:textId="77777777"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14:paraId="0D1DB798" w14:textId="77777777"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14:paraId="48190A4D" w14:textId="77777777"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14:paraId="03ACFBC6" w14:textId="77777777"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14:paraId="1E439F91" w14:textId="2B06DD4F" w:rsidR="002C165B" w:rsidRPr="000D4C89" w:rsidRDefault="007968D5" w:rsidP="000D4C89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</w:t>
      </w:r>
      <w:r w:rsidR="00AB7A33" w:rsidRPr="000D4C89">
        <w:rPr>
          <w:rFonts w:ascii="Cambria" w:hAnsi="Cambria"/>
          <w:sz w:val="22"/>
          <w:szCs w:val="22"/>
        </w:rPr>
        <w:t> předchozím odstavcem</w:t>
      </w:r>
      <w:r w:rsidR="002079ED" w:rsidRPr="000D4C89">
        <w:rPr>
          <w:rFonts w:ascii="Cambria" w:hAnsi="Cambria"/>
          <w:sz w:val="22"/>
          <w:szCs w:val="22"/>
        </w:rPr>
        <w:t>,</w:t>
      </w:r>
    </w:p>
    <w:p w14:paraId="234D3FD7" w14:textId="77777777"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14:paraId="6596DD7D" w14:textId="77777777"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14:paraId="67BC0210" w14:textId="77777777"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14:paraId="32A8111B" w14:textId="77777777" w:rsidR="002B002E" w:rsidRPr="00EA3785" w:rsidRDefault="00A3228D" w:rsidP="00954106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14:paraId="74A504DC" w14:textId="77777777" w:rsidR="007F4515" w:rsidRPr="00EA3785" w:rsidRDefault="007F451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79B853C5" w14:textId="77777777"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2F72A37B" w14:textId="77777777"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14:paraId="5BF66359" w14:textId="77777777"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14:paraId="164E39FB" w14:textId="77777777"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14:paraId="52131432" w14:textId="77777777"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14:paraId="40FA9CFA" w14:textId="77777777" w:rsidR="001E70F0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14:paraId="6318273C" w14:textId="0E41EBA2" w:rsidR="00750C0A" w:rsidRPr="00EA3785" w:rsidRDefault="00750C0A" w:rsidP="00B46A13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14:paraId="30A62242" w14:textId="77777777"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14:paraId="707D024F" w14:textId="77777777"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14:paraId="06CE83B8" w14:textId="77777777"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14:paraId="3B9FD66D" w14:textId="77777777"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14:paraId="7DF1F05B" w14:textId="77777777"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14:paraId="459ECE51" w14:textId="77777777" w:rsidR="0062504E" w:rsidRPr="00EA3785" w:rsidRDefault="0062504E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14:paraId="785DCB9E" w14:textId="77777777" w:rsidR="00C6408F" w:rsidRPr="00EA3785" w:rsidRDefault="00C6408F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14:paraId="41597691" w14:textId="77777777"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14:paraId="2026706B" w14:textId="77777777"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14:paraId="7DB3873E" w14:textId="77777777"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14:paraId="6B585593" w14:textId="77777777"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14:paraId="36D7D294" w14:textId="77777777"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14:paraId="10B63A15" w14:textId="77777777"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14:paraId="39DEE197" w14:textId="77777777" w:rsidR="00EA3636" w:rsidRPr="00EA3785" w:rsidRDefault="00EA363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14:paraId="36812CE8" w14:textId="77777777"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14:paraId="14A48BF6" w14:textId="77777777"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14:paraId="079A2161" w14:textId="77777777"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14:paraId="3EFF44E1" w14:textId="77777777"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14:paraId="62023FE2" w14:textId="77777777" w:rsidR="006C0897" w:rsidRPr="00EA3785" w:rsidRDefault="006C0897" w:rsidP="0084308E">
      <w:pPr>
        <w:pStyle w:val="AJAKO1"/>
        <w:widowControl w:val="0"/>
        <w:spacing w:before="0" w:after="0"/>
        <w:ind w:left="0" w:firstLine="0"/>
        <w:rPr>
          <w:rFonts w:ascii="Cambria" w:hAnsi="Cambria"/>
          <w:b/>
          <w:sz w:val="22"/>
          <w:szCs w:val="22"/>
        </w:rPr>
      </w:pPr>
    </w:p>
    <w:p w14:paraId="0B599A45" w14:textId="77777777"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14:paraId="07800264" w14:textId="77777777"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14:paraId="54E86814" w14:textId="77777777"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14:paraId="72EDB87B" w14:textId="77777777"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14:paraId="24CB3222" w14:textId="77777777"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14:paraId="224F081D" w14:textId="77777777"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14:paraId="4CF6F822" w14:textId="30F7719B" w:rsidR="00063C65" w:rsidRPr="00F618AE" w:rsidRDefault="000D4C89" w:rsidP="006F66A3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Ing. Michal Hejzlar, tel.: 736</w:t>
      </w:r>
      <w:r w:rsidR="006F66A3"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760</w:t>
      </w:r>
      <w:r w:rsidR="006F66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306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r>
        <w:rPr>
          <w:rFonts w:ascii="Cambria" w:hAnsi="Cambria"/>
          <w:sz w:val="22"/>
          <w:szCs w:val="22"/>
        </w:rPr>
        <w:t>hejzlar@mjolk.cz</w:t>
      </w:r>
    </w:p>
    <w:p w14:paraId="399A01A6" w14:textId="77777777"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14:paraId="643E1A37" w14:textId="77777777"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14:paraId="3D8092D0" w14:textId="77777777"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14:paraId="088CFF72" w14:textId="77777777"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14:paraId="24306FA3" w14:textId="77777777" w:rsidR="003F5AA0" w:rsidRPr="00EA3785" w:rsidRDefault="003F5AA0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14:paraId="71379508" w14:textId="77777777"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14:paraId="7C5D456B" w14:textId="77777777"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14:paraId="213D2145" w14:textId="77777777"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14:paraId="4132103C" w14:textId="77777777"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14:paraId="38A5A22B" w14:textId="77777777" w:rsidR="00726031" w:rsidRPr="00F55563" w:rsidRDefault="00D31AAA" w:rsidP="00F55563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14:paraId="454B1354" w14:textId="77777777" w:rsidR="0084222D" w:rsidRPr="00EA3785" w:rsidRDefault="0084222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</w:p>
    <w:p w14:paraId="6C3150D5" w14:textId="77777777"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14:paraId="3AF6FAFC" w14:textId="77777777"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0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14:paraId="300755E9" w14:textId="77777777"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14:paraId="2477A69C" w14:textId="77777777"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14:paraId="1D3F75C8" w14:textId="77777777"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14:paraId="26963B98" w14:textId="77777777"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14:paraId="6C790A10" w14:textId="77777777"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14:paraId="7A83EB77" w14:textId="77777777"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14:paraId="31ED248D" w14:textId="77777777"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14:paraId="719FF37C" w14:textId="60A23453" w:rsidR="001A689D" w:rsidRPr="00EA3785" w:rsidRDefault="001A689D" w:rsidP="006E424F">
      <w:pPr>
        <w:widowControl w:val="0"/>
        <w:numPr>
          <w:ilvl w:val="0"/>
          <w:numId w:val="3"/>
        </w:numPr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Smlouva byla schválena usnesením Rady </w:t>
      </w:r>
      <w:r w:rsidR="00954106" w:rsidRPr="00EA3785">
        <w:rPr>
          <w:rFonts w:ascii="Cambria" w:hAnsi="Cambria"/>
          <w:sz w:val="22"/>
          <w:szCs w:val="22"/>
        </w:rPr>
        <w:t>Městského obvodu</w:t>
      </w:r>
      <w:r w:rsidR="009726F4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 xml:space="preserve">Liberec - Vratislavice nad Nisou </w:t>
      </w:r>
      <w:r w:rsidR="009726F4" w:rsidRPr="00EA3785">
        <w:rPr>
          <w:rFonts w:ascii="Cambria" w:hAnsi="Cambria"/>
          <w:sz w:val="22"/>
          <w:szCs w:val="22"/>
        </w:rPr>
        <w:t xml:space="preserve">č. </w:t>
      </w:r>
      <w:r w:rsidR="00E6738B">
        <w:rPr>
          <w:rFonts w:ascii="Cambria" w:hAnsi="Cambria"/>
          <w:sz w:val="22"/>
          <w:szCs w:val="22"/>
        </w:rPr>
        <w:t>317</w:t>
      </w:r>
      <w:r w:rsidR="008B6FEA">
        <w:rPr>
          <w:rFonts w:ascii="Cambria" w:hAnsi="Cambria"/>
          <w:sz w:val="22"/>
          <w:szCs w:val="22"/>
        </w:rPr>
        <w:t>/</w:t>
      </w:r>
      <w:r w:rsidR="004E2E78">
        <w:rPr>
          <w:rFonts w:ascii="Cambria" w:hAnsi="Cambria"/>
          <w:sz w:val="22"/>
          <w:szCs w:val="22"/>
        </w:rPr>
        <w:t>1</w:t>
      </w:r>
      <w:r w:rsidR="00F82EC4">
        <w:rPr>
          <w:rFonts w:ascii="Cambria" w:hAnsi="Cambria"/>
          <w:sz w:val="22"/>
          <w:szCs w:val="22"/>
        </w:rPr>
        <w:t>0</w:t>
      </w:r>
      <w:r w:rsidR="008B6FEA">
        <w:rPr>
          <w:rFonts w:ascii="Cambria" w:hAnsi="Cambria"/>
          <w:sz w:val="22"/>
          <w:szCs w:val="22"/>
        </w:rPr>
        <w:t>/20</w:t>
      </w:r>
      <w:r w:rsidR="00F55563">
        <w:rPr>
          <w:rFonts w:ascii="Cambria" w:hAnsi="Cambria"/>
          <w:sz w:val="22"/>
          <w:szCs w:val="22"/>
        </w:rPr>
        <w:t>2</w:t>
      </w:r>
      <w:r w:rsidR="00F82EC4">
        <w:rPr>
          <w:rFonts w:ascii="Cambria" w:hAnsi="Cambria"/>
          <w:sz w:val="22"/>
          <w:szCs w:val="22"/>
        </w:rPr>
        <w:t>2</w:t>
      </w:r>
      <w:r w:rsidRPr="00EA3785">
        <w:rPr>
          <w:rFonts w:ascii="Cambria" w:hAnsi="Cambria"/>
          <w:sz w:val="22"/>
          <w:szCs w:val="22"/>
        </w:rPr>
        <w:t xml:space="preserve"> ze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B46A13">
        <w:rPr>
          <w:rFonts w:ascii="Cambria" w:hAnsi="Cambria"/>
          <w:sz w:val="22"/>
          <w:szCs w:val="22"/>
        </w:rPr>
        <w:t>17</w:t>
      </w:r>
      <w:r w:rsidR="003657DE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1</w:t>
      </w:r>
      <w:r w:rsidR="00F82EC4">
        <w:rPr>
          <w:rFonts w:ascii="Cambria" w:hAnsi="Cambria"/>
          <w:sz w:val="22"/>
          <w:szCs w:val="22"/>
        </w:rPr>
        <w:t>0</w:t>
      </w:r>
      <w:r w:rsidR="003657DE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F82EC4">
        <w:rPr>
          <w:rFonts w:ascii="Cambria" w:hAnsi="Cambria"/>
          <w:sz w:val="22"/>
          <w:szCs w:val="22"/>
        </w:rPr>
        <w:t>2</w:t>
      </w:r>
      <w:proofErr w:type="gramEnd"/>
      <w:r w:rsidR="003657DE">
        <w:rPr>
          <w:rFonts w:ascii="Cambria" w:hAnsi="Cambria"/>
          <w:sz w:val="22"/>
          <w:szCs w:val="22"/>
        </w:rPr>
        <w:t>.</w:t>
      </w:r>
    </w:p>
    <w:p w14:paraId="204CDA14" w14:textId="77777777" w:rsidR="001A689D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14:paraId="3F56F8D3" w14:textId="77777777" w:rsidR="001560E5" w:rsidRPr="00EA378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14:paraId="06947C0A" w14:textId="34210361"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22BB6">
        <w:rPr>
          <w:rFonts w:ascii="Cambria" w:hAnsi="Cambria"/>
          <w:sz w:val="22"/>
          <w:szCs w:val="22"/>
        </w:rPr>
        <w:t xml:space="preserve"> </w:t>
      </w:r>
      <w:proofErr w:type="gramStart"/>
      <w:r w:rsidR="00822BB6">
        <w:rPr>
          <w:rFonts w:ascii="Cambria" w:hAnsi="Cambria"/>
          <w:sz w:val="22"/>
          <w:szCs w:val="22"/>
        </w:rPr>
        <w:t>23.11.2022</w:t>
      </w:r>
      <w:proofErr w:type="gramEnd"/>
      <w:r w:rsidRPr="00EA3785">
        <w:rPr>
          <w:rFonts w:ascii="Cambria" w:hAnsi="Cambria"/>
          <w:sz w:val="22"/>
          <w:szCs w:val="22"/>
        </w:rPr>
        <w:tab/>
      </w:r>
      <w:r w:rsidRPr="006F66A3">
        <w:rPr>
          <w:rFonts w:ascii="Cambria" w:hAnsi="Cambria"/>
          <w:sz w:val="22"/>
          <w:szCs w:val="22"/>
        </w:rPr>
        <w:t>V</w:t>
      </w:r>
      <w:r w:rsidR="00753397" w:rsidRPr="006F66A3">
        <w:rPr>
          <w:rFonts w:ascii="Cambria" w:hAnsi="Cambria"/>
          <w:sz w:val="22"/>
          <w:szCs w:val="22"/>
        </w:rPr>
        <w:t xml:space="preserve"> Liberci </w:t>
      </w:r>
      <w:r w:rsidRPr="006F66A3">
        <w:rPr>
          <w:rFonts w:ascii="Cambria" w:hAnsi="Cambria"/>
          <w:sz w:val="22"/>
          <w:szCs w:val="22"/>
        </w:rPr>
        <w:t>dne</w:t>
      </w:r>
      <w:r w:rsidR="00843106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 </w:t>
      </w:r>
      <w:r w:rsidR="00822BB6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22.11.2022</w:t>
      </w:r>
    </w:p>
    <w:p w14:paraId="096746C1" w14:textId="77777777"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14:paraId="5A1219A7" w14:textId="77777777"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A43875">
        <w:rPr>
          <w:rFonts w:ascii="Cambria" w:hAnsi="Cambria"/>
          <w:sz w:val="22"/>
          <w:szCs w:val="22"/>
        </w:rPr>
        <w:t>Za z</w:t>
      </w:r>
      <w:r w:rsidR="00F2733C" w:rsidRPr="00A43875">
        <w:rPr>
          <w:rFonts w:ascii="Cambria" w:hAnsi="Cambria"/>
          <w:sz w:val="22"/>
          <w:szCs w:val="22"/>
        </w:rPr>
        <w:t>hotovitel</w:t>
      </w:r>
      <w:r w:rsidRPr="00A43875">
        <w:rPr>
          <w:rFonts w:ascii="Cambria" w:hAnsi="Cambria"/>
          <w:sz w:val="22"/>
          <w:szCs w:val="22"/>
        </w:rPr>
        <w:t>e</w:t>
      </w:r>
      <w:r w:rsidR="00F2733C" w:rsidRPr="00A43875">
        <w:rPr>
          <w:rFonts w:ascii="Cambria" w:hAnsi="Cambria"/>
          <w:sz w:val="22"/>
          <w:szCs w:val="22"/>
        </w:rPr>
        <w:t>:</w:t>
      </w:r>
    </w:p>
    <w:p w14:paraId="036EF6B6" w14:textId="77777777" w:rsidR="00F2733C" w:rsidRPr="00EA3785" w:rsidRDefault="00F2733C" w:rsidP="0084308E">
      <w:pPr>
        <w:widowControl w:val="0"/>
        <w:tabs>
          <w:tab w:val="left" w:pos="6660"/>
        </w:tabs>
        <w:spacing w:before="120"/>
        <w:ind w:left="360"/>
        <w:rPr>
          <w:rFonts w:ascii="Cambria" w:hAnsi="Cambria"/>
          <w:sz w:val="22"/>
          <w:szCs w:val="22"/>
        </w:rPr>
      </w:pPr>
    </w:p>
    <w:p w14:paraId="52FB4BD4" w14:textId="77777777" w:rsidR="00A43878" w:rsidRPr="00EA3785" w:rsidRDefault="00A43878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14:paraId="0D98E833" w14:textId="77777777"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14:paraId="3E109A62" w14:textId="77777777"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0"/>
    </w:p>
    <w:p w14:paraId="1DFF81BD" w14:textId="5CF1CBB6" w:rsidR="006E424F" w:rsidRPr="00EA3785" w:rsidRDefault="0084222D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Lukáš Pohanka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A03E6F">
        <w:rPr>
          <w:rFonts w:ascii="Cambria" w:hAnsi="Cambria"/>
          <w:sz w:val="22"/>
          <w:szCs w:val="22"/>
        </w:rPr>
        <w:tab/>
        <w:t>Michal Hejzlar</w:t>
      </w:r>
    </w:p>
    <w:p w14:paraId="6E20E4DB" w14:textId="4B4DAE63" w:rsidR="0073042F" w:rsidRDefault="00A16D01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2"/>
          <w:szCs w:val="22"/>
        </w:rPr>
        <w:t>s</w:t>
      </w:r>
      <w:r w:rsidR="006E424F" w:rsidRPr="00EA3785">
        <w:rPr>
          <w:rFonts w:ascii="Cambria" w:hAnsi="Cambria"/>
          <w:sz w:val="22"/>
          <w:szCs w:val="22"/>
        </w:rPr>
        <w:t>tarosta</w:t>
      </w:r>
      <w:r w:rsidR="00A03E6F">
        <w:rPr>
          <w:rFonts w:ascii="Cambria" w:hAnsi="Cambria"/>
          <w:sz w:val="22"/>
          <w:szCs w:val="22"/>
        </w:rPr>
        <w:tab/>
        <w:t>jednatel</w:t>
      </w:r>
      <w:r w:rsidR="0073042F" w:rsidRPr="00954106">
        <w:rPr>
          <w:rFonts w:ascii="Cambria" w:hAnsi="Cambria"/>
          <w:sz w:val="24"/>
        </w:rPr>
        <w:tab/>
      </w:r>
    </w:p>
    <w:p w14:paraId="7E27EECB" w14:textId="6B9AF9E4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3719AA3" w14:textId="66610284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2AA60D0" w14:textId="423986D2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3F5F929" w14:textId="55A5467C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408DEEB8" w14:textId="634471E4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53D22778" w14:textId="7547F23C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6424DEA2" w14:textId="6DC97416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64776D0C" w14:textId="302C4877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2DE4C397" w14:textId="208854FF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293180D9" w14:textId="23D5F25B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61BF4FE5" w14:textId="6ED0E3A8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5EBA8549" w14:textId="3DD1CEEE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4FC5821" w14:textId="770C8600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67DA549" w14:textId="0F735148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5601F8F1" w14:textId="05D91044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7351AF4E" w14:textId="66EADEDF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5B750E11" w14:textId="4AFC4EDA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4C69E021" w14:textId="3C7E1DFA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4D50C6A1" w14:textId="78E5CEAB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bookmarkStart w:id="1" w:name="_GoBack"/>
      <w:bookmarkEnd w:id="1"/>
    </w:p>
    <w:p w14:paraId="23366EFC" w14:textId="08AB8059" w:rsidR="009B7D1C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</w:p>
    <w:p w14:paraId="36678DEE" w14:textId="2632B438" w:rsidR="009B7D1C" w:rsidRPr="00954106" w:rsidRDefault="009B7D1C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 wp14:anchorId="023888A3" wp14:editId="45FE5396">
            <wp:extent cx="5939790" cy="589470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2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D1C" w:rsidRPr="00954106" w:rsidSect="006B5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2863" w14:textId="77777777" w:rsidR="00A57A55" w:rsidRDefault="00A57A55">
      <w:r>
        <w:separator/>
      </w:r>
    </w:p>
  </w:endnote>
  <w:endnote w:type="continuationSeparator" w:id="0">
    <w:p w14:paraId="2E5994B1" w14:textId="77777777" w:rsidR="00A57A55" w:rsidRDefault="00A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E3EB" w14:textId="77777777"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0BA9B4" w14:textId="77777777"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39755"/>
      <w:docPartObj>
        <w:docPartGallery w:val="Page Numbers (Bottom of Page)"/>
        <w:docPartUnique/>
      </w:docPartObj>
    </w:sdtPr>
    <w:sdtEndPr/>
    <w:sdtContent>
      <w:p w14:paraId="73B50223" w14:textId="5F1B1563" w:rsidR="006B52A2" w:rsidRDefault="006B52A2">
        <w:pPr>
          <w:pStyle w:val="Zpat"/>
          <w:jc w:val="right"/>
        </w:pPr>
        <w:r w:rsidRPr="009B1F6A">
          <w:rPr>
            <w:sz w:val="16"/>
            <w:szCs w:val="16"/>
          </w:rPr>
          <w:fldChar w:fldCharType="begin"/>
        </w:r>
        <w:r w:rsidRPr="009B1F6A">
          <w:rPr>
            <w:sz w:val="16"/>
            <w:szCs w:val="16"/>
          </w:rPr>
          <w:instrText>PAGE   \* MERGEFORMAT</w:instrText>
        </w:r>
        <w:r w:rsidRPr="009B1F6A">
          <w:rPr>
            <w:sz w:val="16"/>
            <w:szCs w:val="16"/>
          </w:rPr>
          <w:fldChar w:fldCharType="separate"/>
        </w:r>
        <w:r w:rsidR="009B7D1C">
          <w:rPr>
            <w:noProof/>
            <w:sz w:val="16"/>
            <w:szCs w:val="16"/>
          </w:rPr>
          <w:t>9</w:t>
        </w:r>
        <w:r w:rsidRPr="009B1F6A">
          <w:rPr>
            <w:sz w:val="16"/>
            <w:szCs w:val="16"/>
          </w:rPr>
          <w:fldChar w:fldCharType="end"/>
        </w:r>
      </w:p>
    </w:sdtContent>
  </w:sdt>
  <w:p w14:paraId="021FF314" w14:textId="77777777" w:rsidR="003743EA" w:rsidRDefault="003743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3D45" w14:textId="77777777" w:rsidR="009B1F6A" w:rsidRDefault="009B1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F6E1" w14:textId="77777777" w:rsidR="00A57A55" w:rsidRDefault="00A57A55">
      <w:r>
        <w:separator/>
      </w:r>
    </w:p>
  </w:footnote>
  <w:footnote w:type="continuationSeparator" w:id="0">
    <w:p w14:paraId="70F1BEC7" w14:textId="77777777" w:rsidR="00A57A55" w:rsidRDefault="00A5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0C7" w14:textId="77777777" w:rsidR="009B1F6A" w:rsidRDefault="009B1F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D0FB" w14:textId="77777777" w:rsidR="0034495D" w:rsidRPr="006B52A2" w:rsidRDefault="006B52A2" w:rsidP="006B52A2">
    <w:pPr>
      <w:pStyle w:val="Zhlav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</w:r>
    <w:r w:rsidRPr="006B52A2">
      <w:rPr>
        <w:i/>
        <w:color w:val="A6A6A6" w:themeColor="background1" w:themeShade="A6"/>
        <w:sz w:val="16"/>
        <w:szCs w:val="16"/>
      </w:rPr>
      <w:t>Smlouva o dílo č.  272/2022/01</w:t>
    </w:r>
  </w:p>
  <w:p w14:paraId="7A6CFF4D" w14:textId="77777777" w:rsidR="00954106" w:rsidRPr="00954106" w:rsidRDefault="00954106" w:rsidP="000B187C">
    <w:pPr>
      <w:pStyle w:val="Zhlav"/>
      <w:rPr>
        <w:rFonts w:ascii="Cambria" w:hAnsi="Cambria"/>
        <w:i/>
        <w:color w:val="A6A6A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18C9" w14:textId="77777777" w:rsidR="009B1F6A" w:rsidRDefault="009B1F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4C89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22A3"/>
    <w:rsid w:val="00114045"/>
    <w:rsid w:val="001160B9"/>
    <w:rsid w:val="00117772"/>
    <w:rsid w:val="00117ABE"/>
    <w:rsid w:val="00123974"/>
    <w:rsid w:val="001255D9"/>
    <w:rsid w:val="00126215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0E5"/>
    <w:rsid w:val="00156279"/>
    <w:rsid w:val="001564B5"/>
    <w:rsid w:val="00161AAF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5EDD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33175"/>
    <w:rsid w:val="00340384"/>
    <w:rsid w:val="003432FF"/>
    <w:rsid w:val="0034495D"/>
    <w:rsid w:val="003471AB"/>
    <w:rsid w:val="003571E6"/>
    <w:rsid w:val="00357CC5"/>
    <w:rsid w:val="003601D1"/>
    <w:rsid w:val="00362FCF"/>
    <w:rsid w:val="003657DE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85DAD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1E6F"/>
    <w:rsid w:val="005825D9"/>
    <w:rsid w:val="0058291D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5CEC"/>
    <w:rsid w:val="006A7630"/>
    <w:rsid w:val="006B35FB"/>
    <w:rsid w:val="006B52A2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E76B1"/>
    <w:rsid w:val="006F405F"/>
    <w:rsid w:val="006F66A3"/>
    <w:rsid w:val="007036F1"/>
    <w:rsid w:val="007037BD"/>
    <w:rsid w:val="007050DA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6F6"/>
    <w:rsid w:val="00811821"/>
    <w:rsid w:val="00813555"/>
    <w:rsid w:val="008150E8"/>
    <w:rsid w:val="00815C2A"/>
    <w:rsid w:val="00816E16"/>
    <w:rsid w:val="0081719B"/>
    <w:rsid w:val="00817D8D"/>
    <w:rsid w:val="008203B9"/>
    <w:rsid w:val="00820FBA"/>
    <w:rsid w:val="00821D49"/>
    <w:rsid w:val="00822BB6"/>
    <w:rsid w:val="0082351E"/>
    <w:rsid w:val="00824263"/>
    <w:rsid w:val="00826104"/>
    <w:rsid w:val="008275C1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1F6A"/>
    <w:rsid w:val="009B5435"/>
    <w:rsid w:val="009B73C1"/>
    <w:rsid w:val="009B747E"/>
    <w:rsid w:val="009B7D1C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3E6F"/>
    <w:rsid w:val="00A051CA"/>
    <w:rsid w:val="00A05E56"/>
    <w:rsid w:val="00A07E3F"/>
    <w:rsid w:val="00A1073C"/>
    <w:rsid w:val="00A11AB8"/>
    <w:rsid w:val="00A12F0F"/>
    <w:rsid w:val="00A12F26"/>
    <w:rsid w:val="00A15D59"/>
    <w:rsid w:val="00A16D01"/>
    <w:rsid w:val="00A17CEE"/>
    <w:rsid w:val="00A20516"/>
    <w:rsid w:val="00A20F32"/>
    <w:rsid w:val="00A213B9"/>
    <w:rsid w:val="00A217D1"/>
    <w:rsid w:val="00A22809"/>
    <w:rsid w:val="00A2483B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5"/>
    <w:rsid w:val="00A43878"/>
    <w:rsid w:val="00A4599B"/>
    <w:rsid w:val="00A46FD4"/>
    <w:rsid w:val="00A47B52"/>
    <w:rsid w:val="00A50E3B"/>
    <w:rsid w:val="00A56DFF"/>
    <w:rsid w:val="00A57A55"/>
    <w:rsid w:val="00A57D32"/>
    <w:rsid w:val="00A602E1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46A13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90A"/>
    <w:rsid w:val="00E26A49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6738B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600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0C49"/>
    <w:rsid w:val="00F742DD"/>
    <w:rsid w:val="00F75A70"/>
    <w:rsid w:val="00F75DDB"/>
    <w:rsid w:val="00F767BD"/>
    <w:rsid w:val="00F82EC4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C0905"/>
    <w:rsid w:val="00FC0EA7"/>
    <w:rsid w:val="00FC12B2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FCD63"/>
  <w15:docId w15:val="{739567EC-FF7C-4073-BB2E-4ADFEBE1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uiPriority w:val="99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2470</Words>
  <Characters>14474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16911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Masárová Věra</cp:lastModifiedBy>
  <cp:revision>13</cp:revision>
  <cp:lastPrinted>2020-10-22T05:06:00Z</cp:lastPrinted>
  <dcterms:created xsi:type="dcterms:W3CDTF">2022-08-22T12:40:00Z</dcterms:created>
  <dcterms:modified xsi:type="dcterms:W3CDTF">2022-12-06T11:57:00Z</dcterms:modified>
</cp:coreProperties>
</file>