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clear" w:pos="708"/>
          <w:tab w:val="left" w:pos="426" w:leader="none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1.</w:t>
        <w:tab/>
      </w:r>
      <w:r>
        <w:rPr>
          <w:rFonts w:cs="Arial" w:ascii="Arial" w:hAnsi="Arial"/>
          <w:b/>
          <w:iCs/>
          <w:sz w:val="22"/>
          <w:szCs w:val="22"/>
        </w:rPr>
        <w:t xml:space="preserve">VEZEKO s. r.o. </w:t>
      </w:r>
    </w:p>
    <w:p>
      <w:pPr>
        <w:pStyle w:val="Normal"/>
        <w:spacing w:lineRule="atLeast" w:line="360"/>
        <w:ind w:firstLine="426"/>
        <w:jc w:val="both"/>
        <w:textAlignment w:val="baseline"/>
        <w:rPr>
          <w:rFonts w:ascii="Arial" w:hAnsi="Arial" w:cs="Arial"/>
          <w:color w:val="333333"/>
          <w:sz w:val="22"/>
          <w:szCs w:val="22"/>
          <w:lang w:eastAsia="cs-CZ"/>
        </w:rPr>
      </w:pPr>
      <w:r>
        <w:rPr>
          <w:rFonts w:cs="Arial" w:ascii="Arial" w:hAnsi="Arial"/>
          <w:sz w:val="22"/>
          <w:szCs w:val="22"/>
        </w:rPr>
        <w:t>se sídlem</w:t>
        <w:tab/>
        <w:t xml:space="preserve">            </w:t>
        <w:tab/>
        <w:tab/>
      </w:r>
      <w:r>
        <w:rPr>
          <w:rFonts w:cs="Arial" w:ascii="Arial" w:hAnsi="Arial"/>
          <w:color w:val="333333"/>
          <w:sz w:val="22"/>
          <w:szCs w:val="22"/>
          <w:lang w:eastAsia="cs-CZ"/>
        </w:rPr>
        <w:t>Jihlavská 229, 594 01 Velké Meziříčí</w:t>
      </w:r>
    </w:p>
    <w:p>
      <w:pPr>
        <w:pStyle w:val="Normal"/>
        <w:tabs>
          <w:tab w:val="clear" w:pos="708"/>
          <w:tab w:val="left" w:pos="426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zastoupená </w:t>
        <w:tab/>
        <w:tab/>
        <w:tab/>
      </w:r>
      <w:r>
        <w:rPr>
          <w:rFonts w:cs="Arial" w:ascii="Arial" w:hAnsi="Arial"/>
          <w:sz w:val="22"/>
          <w:szCs w:val="22"/>
        </w:rPr>
        <w:t xml:space="preserve">Ludvík Večeřa, </w:t>
      </w:r>
      <w:r>
        <w:rPr>
          <w:rFonts w:cs="Arial" w:ascii="Arial" w:hAnsi="Arial"/>
          <w:iCs/>
          <w:sz w:val="22"/>
          <w:szCs w:val="22"/>
        </w:rPr>
        <w:t>jednatel společnosti</w:t>
      </w:r>
    </w:p>
    <w:p>
      <w:pPr>
        <w:pStyle w:val="Normal"/>
        <w:tabs>
          <w:tab w:val="clear" w:pos="708"/>
          <w:tab w:val="left" w:pos="426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IČ: </w:t>
        <w:tab/>
        <w:tab/>
        <w:tab/>
        <w:tab/>
        <w:t>26273349</w:t>
      </w:r>
    </w:p>
    <w:p>
      <w:pPr>
        <w:pStyle w:val="Normal"/>
        <w:tabs>
          <w:tab w:val="clear" w:pos="708"/>
          <w:tab w:val="left" w:pos="426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DIČ:</w:t>
        <w:tab/>
        <w:tab/>
        <w:tab/>
        <w:tab/>
        <w:t>CZ26273349</w:t>
      </w:r>
    </w:p>
    <w:p>
      <w:pPr>
        <w:pStyle w:val="Normal"/>
        <w:tabs>
          <w:tab w:val="clear" w:pos="708"/>
          <w:tab w:val="left" w:pos="426" w:leader="none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</w:r>
      <w:r>
        <w:rPr>
          <w:rFonts w:cs="Arial" w:ascii="Arial" w:hAnsi="Arial"/>
          <w:iCs/>
          <w:sz w:val="22"/>
          <w:szCs w:val="22"/>
        </w:rPr>
        <w:t>Bankovní spojení:</w:t>
        <w:tab/>
        <w:tab/>
      </w:r>
      <w:r>
        <w:rPr>
          <w:rFonts w:cs="Arial" w:ascii="Arial" w:hAnsi="Arial"/>
          <w:iCs/>
          <w:sz w:val="22"/>
          <w:szCs w:val="22"/>
        </w:rPr>
        <w:t>62675070/2700, UniCredit Bank</w:t>
      </w:r>
      <w:r>
        <w:rPr>
          <w:rFonts w:cs="Arial" w:ascii="Arial" w:hAnsi="Arial"/>
          <w:iCs/>
          <w:sz w:val="22"/>
          <w:szCs w:val="22"/>
        </w:rPr>
        <w:tab/>
        <w:tab/>
      </w:r>
    </w:p>
    <w:p>
      <w:pPr>
        <w:pStyle w:val="Normal"/>
        <w:tabs>
          <w:tab w:val="clear" w:pos="708"/>
          <w:tab w:val="left" w:pos="426" w:leader="none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ab/>
        <w:t xml:space="preserve">Kontaktní osoba: </w:t>
        <w:tab/>
        <w:tab/>
        <w:t>Jan Novák, obchodní zástupce</w:t>
      </w:r>
    </w:p>
    <w:p>
      <w:pPr>
        <w:pStyle w:val="Normal"/>
        <w:tabs>
          <w:tab w:val="clear" w:pos="708"/>
          <w:tab w:val="left" w:pos="426" w:leader="none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ab/>
        <w:t xml:space="preserve">E-mail: </w:t>
        <w:tab/>
        <w:tab/>
        <w:tab/>
        <w:tab/>
        <w:t>jan.novak@vezeko.com</w:t>
      </w:r>
    </w:p>
    <w:p>
      <w:pPr>
        <w:pStyle w:val="Normal"/>
        <w:tabs>
          <w:tab w:val="clear" w:pos="708"/>
          <w:tab w:val="left" w:pos="426" w:leader="none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ab/>
        <w:t>Telefon/fax:</w:t>
        <w:tab/>
        <w:tab/>
        <w:tab/>
        <w:t>774 750 673</w:t>
      </w:r>
    </w:p>
    <w:p>
      <w:pPr>
        <w:pStyle w:val="Normal"/>
        <w:tabs>
          <w:tab w:val="clear" w:pos="708"/>
          <w:tab w:val="left" w:pos="426" w:leader="none"/>
        </w:tabs>
        <w:ind w:left="3540" w:hanging="3540"/>
        <w:rPr>
          <w:rFonts w:ascii="Arial" w:hAnsi="Arial" w:cs="Arial"/>
          <w:color w:val="333333"/>
          <w:sz w:val="22"/>
          <w:szCs w:val="22"/>
          <w:lang w:eastAsia="cs-CZ"/>
        </w:rPr>
      </w:pPr>
      <w:r>
        <w:rPr>
          <w:rFonts w:cs="Arial" w:ascii="Arial" w:hAnsi="Arial"/>
          <w:iCs/>
          <w:sz w:val="22"/>
          <w:szCs w:val="22"/>
        </w:rPr>
        <w:tab/>
      </w:r>
      <w:r>
        <w:rPr>
          <w:rFonts w:cs="Arial" w:ascii="Arial" w:hAnsi="Arial"/>
          <w:sz w:val="22"/>
          <w:szCs w:val="22"/>
        </w:rPr>
        <w:t>zapsaná v OR:</w:t>
        <w:tab/>
      </w:r>
      <w:r>
        <w:rPr>
          <w:rFonts w:cs="Arial" w:ascii="Arial" w:hAnsi="Arial"/>
          <w:color w:val="333333"/>
          <w:sz w:val="22"/>
          <w:szCs w:val="22"/>
          <w:lang w:eastAsia="cs-CZ"/>
        </w:rPr>
        <w:t xml:space="preserve">C </w:t>
      </w:r>
      <w:bookmarkStart w:id="0" w:name="_GoBack"/>
      <w:bookmarkEnd w:id="0"/>
      <w:r>
        <w:rPr>
          <w:rFonts w:cs="Arial" w:ascii="Arial" w:hAnsi="Arial"/>
          <w:color w:val="333333"/>
          <w:sz w:val="22"/>
          <w:szCs w:val="22"/>
          <w:lang w:eastAsia="cs-CZ"/>
        </w:rPr>
        <w:t>41298 vedená u Krajského soudu v Brně,                           zapsaná 21. prosince 2001</w:t>
      </w:r>
    </w:p>
    <w:p>
      <w:pPr>
        <w:pStyle w:val="Normal"/>
        <w:tabs>
          <w:tab w:val="clear" w:pos="708"/>
          <w:tab w:val="left" w:pos="852" w:leader="none"/>
          <w:tab w:val="left" w:pos="1277" w:leader="none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 xml:space="preserve"> </w:t>
      </w:r>
    </w:p>
    <w:p>
      <w:pPr>
        <w:pStyle w:val="Normal"/>
        <w:tabs>
          <w:tab w:val="clear" w:pos="708"/>
          <w:tab w:val="left" w:pos="426" w:leader="none"/>
        </w:tabs>
        <w:jc w:val="both"/>
        <w:rPr>
          <w:rFonts w:ascii="CD Fedra Book;Times New Roman" w:hAnsi="CD Fedra Book;Times New Roman" w:cs="CD Fedra Book;Times New Roman"/>
          <w:i/>
          <w:i/>
          <w:color w:val="FF0000"/>
          <w:sz w:val="18"/>
          <w:szCs w:val="18"/>
        </w:rPr>
      </w:pPr>
      <w:r>
        <w:rPr>
          <w:rFonts w:cs="Arial" w:ascii="Arial" w:hAnsi="Arial"/>
          <w:i/>
          <w:sz w:val="22"/>
          <w:szCs w:val="22"/>
        </w:rPr>
        <w:tab/>
        <w:t>(dále jen „prodávající“)</w:t>
      </w:r>
    </w:p>
    <w:p>
      <w:pPr>
        <w:pStyle w:val="Normal"/>
        <w:spacing w:lineRule="atLeast" w:line="240"/>
        <w:jc w:val="both"/>
        <w:rPr>
          <w:rFonts w:ascii="CD Fedra Book;Times New Roman" w:hAnsi="CD Fedra Book;Times New Roman" w:cs="CD Fedra Book;Times New Roman"/>
          <w:i/>
          <w:i/>
          <w:color w:val="FF0000"/>
          <w:sz w:val="18"/>
          <w:szCs w:val="18"/>
        </w:rPr>
      </w:pPr>
      <w:r>
        <w:rPr>
          <w:rFonts w:cs="CD Fedra Book;Times New Roman" w:ascii="CD Fedra Book;Times New Roman" w:hAnsi="CD Fedra Book;Times New Roman"/>
          <w:i/>
          <w:color w:val="FF0000"/>
          <w:sz w:val="18"/>
          <w:szCs w:val="18"/>
        </w:rPr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both"/>
        <w:rPr>
          <w:rFonts w:ascii="Arial" w:hAnsi="Arial" w:cs="Arial"/>
          <w:i/>
          <w:i/>
          <w:color w:val="FF0000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2.</w:t>
        <w:tab/>
      </w:r>
      <w:r>
        <w:rPr>
          <w:rFonts w:cs="Arial" w:ascii="Arial" w:hAnsi="Arial"/>
          <w:b/>
          <w:sz w:val="22"/>
          <w:szCs w:val="22"/>
        </w:rPr>
        <w:t>Město Nové Město na Moravě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se sídlem Vratislavovo náměstí 103, 592 31 Nové Město na Moravě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zastoupené </w:t>
      </w:r>
      <w:r>
        <w:rPr>
          <w:rFonts w:cs="Arial" w:ascii="Arial" w:hAnsi="Arial"/>
          <w:b/>
          <w:sz w:val="22"/>
          <w:szCs w:val="22"/>
        </w:rPr>
        <w:t>Stanislavem Markem</w:t>
      </w:r>
      <w:r>
        <w:rPr>
          <w:rFonts w:cs="Arial" w:ascii="Arial" w:hAnsi="Arial"/>
          <w:sz w:val="22"/>
          <w:szCs w:val="22"/>
        </w:rPr>
        <w:t>, místostarostou města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IČ: 00294900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DIČ: CZ00294900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bankovní spojení: Komerční banka, a.s.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č. ú.:1224751/0100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>(dále jen „kupující“)</w:t>
      </w:r>
    </w:p>
    <w:p>
      <w:pPr>
        <w:pStyle w:val="Normal"/>
        <w:spacing w:before="80" w:after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spacing w:before="80" w:after="0"/>
        <w:rPr>
          <w:rFonts w:ascii="Arial" w:hAnsi="Arial" w:eastAsia="Calibri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uzavírají níže uvedeného dne, měsíce a roku v souladu s  ust. § 2079 a násl.  ve spojení s ust. </w:t>
        <w:br/>
        <w:t>§ 2085 a násl. zákona č. 89/2012 Sb., občanský zákoník, ve znění platném a účinném ke dni uzavření této smlouvy (dále jen „občanský zákoník“) tuto :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both"/>
        <w:rPr>
          <w:rFonts w:ascii="Arial" w:hAnsi="Arial" w:eastAsia="Calibri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both"/>
        <w:rPr>
          <w:rFonts w:ascii="Arial" w:hAnsi="Arial" w:eastAsia="Calibri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32"/>
          <w:szCs w:val="32"/>
        </w:rPr>
        <w:t>Kupní smlouvu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I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Předmět smlouvy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26" w:leader="none"/>
          <w:tab w:val="left" w:pos="851" w:leader="none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Prodávající se zavazuje kupujícímu dodat zboží:</w:t>
      </w:r>
      <w:bookmarkStart w:id="1" w:name="Text205"/>
      <w:r>
        <w:rPr>
          <w:rFonts w:cs="Arial" w:ascii="Arial" w:hAnsi="Arial"/>
          <w:sz w:val="22"/>
          <w:szCs w:val="22"/>
        </w:rPr>
        <w:t xml:space="preserve"> </w:t>
      </w:r>
      <w:bookmarkEnd w:id="1"/>
    </w:p>
    <w:p>
      <w:pPr>
        <w:pStyle w:val="ListParagraph"/>
        <w:tabs>
          <w:tab w:val="clear" w:pos="708"/>
          <w:tab w:val="left" w:pos="426" w:leader="none"/>
          <w:tab w:val="left" w:pos="851" w:leader="none"/>
        </w:tabs>
        <w:ind w:left="426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Skříňový přívěs – překližková skříň A08.2 ZN – bílá + nabarvené pozink plechy</w:t>
      </w:r>
    </w:p>
    <w:p>
      <w:pPr>
        <w:pStyle w:val="ListParagraph"/>
        <w:tabs>
          <w:tab w:val="clear" w:pos="708"/>
          <w:tab w:val="left" w:pos="426" w:leader="none"/>
          <w:tab w:val="left" w:pos="851" w:leader="none"/>
        </w:tabs>
        <w:ind w:left="426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Celková hmotnost 1300 kg, nebržděný, celková hmotnost v TP 750 kg, rozměry skříně 2500x1260 (bezokopových pásů + bez výztuhy dveří) výška 1460 mm.</w:t>
      </w:r>
    </w:p>
    <w:p>
      <w:pPr>
        <w:pStyle w:val="ListParagraph"/>
        <w:tabs>
          <w:tab w:val="clear" w:pos="708"/>
          <w:tab w:val="left" w:pos="426" w:leader="none"/>
          <w:tab w:val="left" w:pos="851" w:leader="none"/>
        </w:tabs>
        <w:ind w:left="426" w:hanging="426"/>
        <w:jc w:val="both"/>
        <w:rPr/>
      </w:pPr>
      <w:r>
        <w:rPr/>
      </w:r>
    </w:p>
    <w:p>
      <w:pPr>
        <w:pStyle w:val="ListParagraph"/>
        <w:tabs>
          <w:tab w:val="clear" w:pos="708"/>
          <w:tab w:val="left" w:pos="426" w:leader="none"/>
          <w:tab w:val="left" w:pos="851" w:leader="none"/>
        </w:tabs>
        <w:ind w:left="426" w:hanging="0"/>
        <w:jc w:val="both"/>
        <w:rPr>
          <w:rFonts w:ascii="Arial" w:hAnsi="Arial" w:cs="Arial"/>
          <w:color w:val="111111"/>
          <w:sz w:val="22"/>
          <w:szCs w:val="22"/>
        </w:rPr>
      </w:pPr>
      <w:r>
        <w:rPr>
          <w:rFonts w:eastAsia="Arial" w:cs="Arial" w:ascii="Arial" w:hAnsi="Arial"/>
          <w:color w:val="111111"/>
          <w:sz w:val="22"/>
          <w:szCs w:val="22"/>
        </w:rPr>
        <w:t xml:space="preserve">a to </w:t>
      </w:r>
      <w:r>
        <w:rPr>
          <w:rFonts w:cs="Arial" w:ascii="Arial" w:hAnsi="Arial"/>
          <w:color w:val="111111"/>
          <w:sz w:val="22"/>
          <w:szCs w:val="22"/>
        </w:rPr>
        <w:t>dle e-mailové nabídky ze dne 01.12.2022, která je přílohou č.1 a nedílnou součástí této kupní smlouvy.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ind w:left="426" w:hanging="426"/>
        <w:jc w:val="both"/>
        <w:rPr>
          <w:rFonts w:ascii="Arial" w:hAnsi="Arial" w:cs="Arial"/>
          <w:color w:val="111111"/>
          <w:sz w:val="22"/>
          <w:szCs w:val="22"/>
        </w:rPr>
      </w:pPr>
      <w:r>
        <w:rPr>
          <w:rFonts w:cs="Arial" w:ascii="Arial" w:hAnsi="Arial"/>
          <w:color w:val="111111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26" w:leader="none"/>
          <w:tab w:val="left" w:pos="851" w:leader="none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Prodávající prodává touto smlouvou kupujícímu předmět koupě se vším příslušenstvím a součástmi, a se všemi právy a povinnostmi, za dohodnutou kupní cenu dle čl. II odst. 1 této smlouvy a kupující tento předmět koupě za dohodnutou kupní cenu kupuje a do svého výlučného vlastnictví přejímá.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II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Kupní cena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istParagraph"/>
        <w:tabs>
          <w:tab w:val="clear" w:pos="708"/>
          <w:tab w:val="left" w:pos="426" w:leader="none"/>
          <w:tab w:val="left" w:pos="851" w:leader="none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1.  </w:t>
        <w:tab/>
        <w:t xml:space="preserve">Kupní cena byla dohodou smluvních stran stanovena na 74.828,- Kč (slovy: sedmdesátčtyřitisícosmsetdvacetosmkorunčeských) včetně DPH, 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tabs>
          <w:tab w:val="clear" w:pos="708"/>
          <w:tab w:val="left" w:pos="426" w:leader="none"/>
          <w:tab w:val="left" w:pos="851" w:leader="none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2.</w:t>
        <w:tab/>
        <w:t>Kupující zaplatí prodávajícímu dohodnutou kupní cenu dle čl. II odst. 1 této smlouvy formou bezhotovostního převodu na účet prodávajícího banka ……….</w:t>
      </w:r>
      <w:r>
        <w:rPr>
          <w:rFonts w:cs="Arial" w:ascii="Arial" w:hAnsi="Arial"/>
          <w:iCs/>
          <w:sz w:val="22"/>
          <w:szCs w:val="22"/>
        </w:rPr>
        <w:t>., č.ú.: …………. ,</w:t>
      </w:r>
      <w:r>
        <w:rPr>
          <w:rFonts w:cs="Arial" w:ascii="Arial" w:hAnsi="Arial"/>
          <w:sz w:val="22"/>
          <w:szCs w:val="22"/>
        </w:rPr>
        <w:t xml:space="preserve"> nejpozději do 14 dnů ode dne dodání předmětu koupě. Zaplacením se pro účely této smlouvy rozumí odepsání příslušné částky z účtu kupujícího.</w:t>
      </w:r>
    </w:p>
    <w:p>
      <w:pPr>
        <w:pStyle w:val="ListParagraph"/>
        <w:tabs>
          <w:tab w:val="clear" w:pos="708"/>
          <w:tab w:val="left" w:pos="426" w:leader="none"/>
          <w:tab w:val="left" w:pos="851" w:leader="none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tabs>
          <w:tab w:val="clear" w:pos="708"/>
          <w:tab w:val="left" w:pos="426" w:leader="none"/>
          <w:tab w:val="left" w:pos="851" w:leader="none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3.</w:t>
        <w:tab/>
        <w:t>Nejpozději s předáním předmětu koupě je prodávající povinen předat kupujícímu též fakturu na zaplacení kupní ceny se splatnosti 14 dnů od jejího doručení.</w:t>
      </w:r>
    </w:p>
    <w:p>
      <w:pPr>
        <w:pStyle w:val="ListParagraph"/>
        <w:tabs>
          <w:tab w:val="clear" w:pos="708"/>
          <w:tab w:val="left" w:pos="426" w:leader="none"/>
          <w:tab w:val="left" w:pos="851" w:leader="none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tabs>
          <w:tab w:val="clear" w:pos="708"/>
          <w:tab w:val="left" w:pos="426" w:leader="none"/>
          <w:tab w:val="left" w:pos="851" w:leader="none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4.</w:t>
        <w:tab/>
        <w:t>Pro případ prodlení kupujícího s úhradou kupní ceny nebo její části sjednávají smluvní strany smluvní pokutu ve výši 0,1% z dlužné částky za každý i započatý den prodlení s úhradou kupní ceny. Smluvní pokutu je kupující povinen zaplatit na účet prodávajícího uvedený v čl. II odst. 2 této smlouvy.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III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Stav předmětu koupě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istParagraph"/>
        <w:tabs>
          <w:tab w:val="clear" w:pos="708"/>
          <w:tab w:val="left" w:pos="426" w:leader="none"/>
          <w:tab w:val="left" w:pos="851" w:leader="none"/>
        </w:tabs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1.</w:t>
        <w:tab/>
        <w:t xml:space="preserve">Prodávající prohlašuje, že kupujícího seznámil se stavem předmětu koupě, že tento nemá </w:t>
        <w:tab/>
        <w:t>žádné faktické vady bránící v jeho užívání.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tabs>
          <w:tab w:val="clear" w:pos="708"/>
          <w:tab w:val="left" w:pos="426" w:leader="none"/>
          <w:tab w:val="left" w:pos="851" w:leader="none"/>
        </w:tabs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2.</w:t>
        <w:tab/>
        <w:t xml:space="preserve">Prodávající prohlašuje, že na předmětu koupě neváznou žádné právní vady bránící nebo </w:t>
        <w:tab/>
        <w:t>omezující vlastníka ve volné dispozici s předmětem koupě.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tabs>
          <w:tab w:val="clear" w:pos="708"/>
          <w:tab w:val="left" w:pos="426" w:leader="none"/>
          <w:tab w:val="left" w:pos="851" w:leader="none"/>
        </w:tabs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</w:t>
        <w:tab/>
        <w:t xml:space="preserve">Kupující prohlašuje, že je mu stav předmětu koupě znám, že si předmět koupě důkladně </w:t>
        <w:tab/>
        <w:t>prohlédl a že jej ve stavu ke dni podpisu této smlouvy do svého vlastnictví přijímá.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IV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Předání předmětu koupě, přechod vlastnického práva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  <w:tab w:val="left" w:pos="851" w:leader="none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Prodávající je povinen předat kupujícímu předmět koupě nejpozději do 4 týdnů ode dne podpisu této smlouvy. 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  <w:tab w:val="left" w:pos="851" w:leader="none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Nebezpečí vzniku škod na předmětu koupě, jakož i právo předmět koupě užívat, přechází na kupujícího převzetím předmětu koupě.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  <w:tab w:val="left" w:pos="851" w:leader="none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Prodávající si v souladu s ust. § 2132 a násl. občanského zákoníku vyhrazuje k předmětu koupě vlastnické právo. Vlastnické právo k předmětu koupě přechází na kupujícího předáním a převzetím předmětu koupě.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Čl.V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Závěrečná ustanovení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 w:val="false"/>
        <w:tabs>
          <w:tab w:val="clear" w:pos="708"/>
          <w:tab w:val="left" w:pos="5220" w:leader="none"/>
        </w:tabs>
        <w:ind w:left="397" w:hanging="39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1. </w:t>
        <w:tab/>
        <w:t>Tato dohoda byla uzavřená v souladu s usnesením Rady města Nové Město na Moravě přijatým na 55. řádné schůzi konané dne 11.6.2018 pod č.38/55/RM/2018 programu.</w:t>
      </w:r>
    </w:p>
    <w:p>
      <w:pPr>
        <w:pStyle w:val="Normal"/>
        <w:widowControl w:val="false"/>
        <w:tabs>
          <w:tab w:val="clear" w:pos="708"/>
          <w:tab w:val="left" w:pos="5220" w:leader="none"/>
        </w:tabs>
        <w:ind w:left="397" w:hanging="39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clear" w:pos="708"/>
          <w:tab w:val="left" w:pos="5220" w:leader="none"/>
        </w:tabs>
        <w:ind w:left="397" w:hanging="39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2.</w:t>
        <w:tab/>
        <w:t>Prodávající podpisem této smlouvy souhlasí s jejím uveřejněním v registru smluv dle zákona č. 340/2015 Sb., o zvláštních podmínkách účinnosti některých smluv, uveřejňování těchto smluv a o registru smluv ("zákon o registru smluv").</w:t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ind w:left="397" w:hanging="397"/>
        <w:rPr/>
      </w:pPr>
      <w:r>
        <w:rPr>
          <w:rFonts w:cs="Arial" w:ascii="Arial" w:hAnsi="Arial"/>
          <w:color w:val="000000"/>
          <w:sz w:val="22"/>
          <w:szCs w:val="22"/>
        </w:rPr>
        <w:t>3.</w:t>
        <w:tab/>
        <w:t>Smluvní strany se dohodly, že stranou povinnou k uveřejnění této smlouvy v centrálním registru smluv  podle zákona č. 340/2015 Sb., o zvláštních podmínkách účinnosti některých smluv, uveřejňování těchto smluv a o registru smluv ("zákon o registru smluv") je město Nové Město na Moravě, které je povinno tuto smlouvu bez zbytečného odkladu, nejpozději však do 30 dnů od uzavření smlouvy odeslat k uveřejnění v registru smluv.</w:t>
      </w:r>
    </w:p>
    <w:p>
      <w:pPr>
        <w:pStyle w:val="Normal"/>
        <w:widowControl w:val="false"/>
        <w:tabs>
          <w:tab w:val="clear" w:pos="708"/>
          <w:tab w:val="left" w:pos="5220" w:leader="none"/>
        </w:tabs>
        <w:jc w:val="both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5220" w:leader="none"/>
        </w:tabs>
        <w:ind w:left="397" w:hanging="39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4.</w:t>
        <w:tab/>
        <w:t>Smluvní strany shodně prohlašují, že žádné ustanovení v této smlouvě nemá charakter obchodního tajemství, jež by požívalo zvláštní ochrany.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tabs>
          <w:tab w:val="clear" w:pos="708"/>
          <w:tab w:val="left" w:pos="426" w:leader="none"/>
          <w:tab w:val="left" w:pos="851" w:leader="none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5.</w:t>
        <w:tab/>
        <w:t>Tuto smlouvu lze měnit a doplňovat pouze formou písemných, vzestupně číslovaných dodatků podepsaných oběma smluvními stranami.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tabs>
          <w:tab w:val="clear" w:pos="708"/>
          <w:tab w:val="left" w:pos="426" w:leader="none"/>
          <w:tab w:val="left" w:pos="851" w:leader="none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6.</w:t>
        <w:tab/>
        <w:t xml:space="preserve">Vztahy smluvních stran touto smlouvou neupravené se řídí příslušnými ustanoveními občanského zákoníku. </w:t>
      </w:r>
    </w:p>
    <w:p>
      <w:pPr>
        <w:pStyle w:val="ListParagraph"/>
        <w:tabs>
          <w:tab w:val="clear" w:pos="708"/>
          <w:tab w:val="left" w:pos="426" w:leader="none"/>
          <w:tab w:val="left" w:pos="851" w:leader="none"/>
        </w:tabs>
        <w:ind w:left="78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tabs>
          <w:tab w:val="clear" w:pos="708"/>
          <w:tab w:val="left" w:pos="426" w:leader="none"/>
          <w:tab w:val="left" w:pos="851" w:leader="none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7.</w:t>
        <w:tab/>
        <w:t>Kupujícímu svědčí zákonné zmocnění (zák. č. 89/2012 Sb., občanský zákoník, zák. č. 128/2000 Sb., o obcích) ke shromažďování, nakládání a zpracovávání osobních údajů v souvislosti s uzavřením této smlouvy.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tabs>
          <w:tab w:val="clear" w:pos="708"/>
          <w:tab w:val="left" w:pos="426" w:leader="none"/>
          <w:tab w:val="left" w:pos="851" w:leader="none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8.</w:t>
        <w:tab/>
        <w:t>Tato smlouva byla sepsána ve třech vyhotoveních s platností originálu, prodávající obdrží jedno vyhotovení a kupující dvě vyhotovení této smlouvy.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tabs>
          <w:tab w:val="clear" w:pos="708"/>
          <w:tab w:val="left" w:pos="426" w:leader="none"/>
          <w:tab w:val="left" w:pos="851" w:leader="none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9.</w:t>
        <w:tab/>
        <w:t>Smluvní strany prohlašují, že si tuto smlouvu přečetly, že tato byla sepsána na základě jejich pravé a svobodné vůle, nikoli v tísni ani za nápadně nevýhodných podmínek, a na důkaz toho připojují své podpisy.</w:t>
      </w:r>
    </w:p>
    <w:p>
      <w:pPr>
        <w:pStyle w:val="ListParagraph"/>
        <w:tabs>
          <w:tab w:val="clear" w:pos="708"/>
          <w:tab w:val="left" w:pos="426" w:leader="none"/>
          <w:tab w:val="left" w:pos="851" w:leader="none"/>
        </w:tabs>
        <w:ind w:left="78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tabs>
          <w:tab w:val="clear" w:pos="708"/>
          <w:tab w:val="left" w:pos="426" w:leader="none"/>
          <w:tab w:val="left" w:pos="851" w:leader="none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10.</w:t>
        <w:tab/>
        <w:t>Tato smlouva nabývá platnosti dnem podpisu oběma smluvními stranami a účinnosti dnem jejího uveřejnění v Centrálním registru smluv.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426" w:leader="none"/>
          <w:tab w:val="left" w:pos="851" w:leader="none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Ve Velkém Meziříčí dne ………………</w:t>
        <w:tab/>
        <w:t>V  Novém Městě na Moravě dne ….................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left" w:pos="426" w:leader="none"/>
          <w:tab w:val="left" w:pos="851" w:leader="none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left" w:pos="426" w:leader="none"/>
          <w:tab w:val="left" w:pos="851" w:leader="none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  <w:t>Prodávající</w:t>
      </w:r>
      <w:r>
        <w:rPr>
          <w:rFonts w:cs="Arial" w:ascii="Arial" w:hAnsi="Arial"/>
          <w:color w:val="000000"/>
          <w:sz w:val="22"/>
          <w:szCs w:val="22"/>
        </w:rPr>
        <w:t xml:space="preserve">: </w:t>
        <w:tab/>
        <w:t>Kupující: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left" w:pos="426" w:leader="none"/>
          <w:tab w:val="left" w:pos="851" w:leader="none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left" w:pos="426" w:leader="none"/>
          <w:tab w:val="left" w:pos="851" w:leader="none"/>
          <w:tab w:val="left" w:pos="5103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 xml:space="preserve">……………………………………… </w:t>
      </w:r>
      <w:r>
        <w:rPr>
          <w:rFonts w:cs="Arial" w:ascii="Arial" w:hAnsi="Arial"/>
          <w:color w:val="000000"/>
          <w:sz w:val="22"/>
          <w:szCs w:val="22"/>
        </w:rPr>
        <w:tab/>
        <w:tab/>
        <w:tab/>
        <w:t>……………………………………</w:t>
      </w:r>
    </w:p>
    <w:p>
      <w:pPr>
        <w:pStyle w:val="Normal"/>
        <w:tabs>
          <w:tab w:val="clear" w:pos="708"/>
          <w:tab w:val="center" w:pos="1701" w:leader="none"/>
          <w:tab w:val="center" w:pos="6804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</w:r>
      <w:r>
        <w:rPr>
          <w:rFonts w:cs="Arial" w:ascii="Arial" w:hAnsi="Arial"/>
          <w:sz w:val="22"/>
          <w:szCs w:val="22"/>
        </w:rPr>
        <w:t>Ludvík Večeřa</w:t>
      </w:r>
      <w:r>
        <w:rPr>
          <w:rFonts w:cs="Arial" w:ascii="Arial" w:hAnsi="Arial"/>
          <w:sz w:val="22"/>
          <w:szCs w:val="22"/>
        </w:rPr>
        <w:tab/>
        <w:tab/>
        <w:t xml:space="preserve">Stanislav Marek </w:t>
      </w:r>
    </w:p>
    <w:p>
      <w:pPr>
        <w:pStyle w:val="Normal"/>
        <w:rPr/>
      </w:pPr>
      <w:r>
        <w:rPr>
          <w:rFonts w:eastAsia="Arial" w:cs="Arial" w:ascii="Arial" w:hAnsi="Arial"/>
          <w:sz w:val="22"/>
          <w:szCs w:val="22"/>
        </w:rPr>
        <w:t xml:space="preserve">     </w:t>
      </w:r>
      <w:r>
        <w:rPr>
          <w:rFonts w:eastAsia="Arial" w:cs="Arial" w:ascii="Arial" w:hAnsi="Arial"/>
          <w:sz w:val="22"/>
          <w:szCs w:val="22"/>
        </w:rPr>
        <w:tab/>
        <w:t xml:space="preserve">        </w:t>
      </w:r>
      <w:r>
        <w:rPr>
          <w:rFonts w:cs="Arial" w:ascii="Arial" w:hAnsi="Arial"/>
          <w:sz w:val="22"/>
          <w:szCs w:val="22"/>
        </w:rPr>
        <w:t>jednatel</w:t>
        <w:tab/>
        <w:tab/>
        <w:tab/>
        <w:tab/>
        <w:tab/>
        <w:tab/>
        <w:tab/>
        <w:tab/>
        <w:t xml:space="preserve"> místostarosta </w:t>
      </w:r>
    </w:p>
    <w:sectPr>
      <w:footerReference w:type="default" r:id="rId2"/>
      <w:type w:val="nextPage"/>
      <w:pgSz w:w="11906" w:h="16838"/>
      <w:pgMar w:left="1134" w:right="1134" w:header="0" w:top="1418" w:footer="450" w:bottom="993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D Fedra Book">
    <w:altName w:val="Times New Roman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cs="Arial"/>
        <w:sz w:val="16"/>
        <w:szCs w:val="16"/>
      </w:rPr>
      <w:fldChar w:fldCharType="begin"/>
    </w:r>
    <w:r>
      <w:rPr>
        <w:sz w:val="16"/>
        <w:szCs w:val="16"/>
        <w:rFonts w:cs="Arial"/>
      </w:rPr>
      <w:instrText> PAGE </w:instrText>
    </w:r>
    <w:r>
      <w:rPr>
        <w:sz w:val="16"/>
        <w:szCs w:val="16"/>
        <w:rFonts w:cs="Arial"/>
      </w:rPr>
      <w:fldChar w:fldCharType="separate"/>
    </w:r>
    <w:r>
      <w:rPr>
        <w:sz w:val="16"/>
        <w:szCs w:val="16"/>
        <w:rFonts w:cs="Arial"/>
      </w:rPr>
      <w:t>2</w:t>
    </w:r>
    <w:r>
      <w:rPr>
        <w:sz w:val="16"/>
        <w:szCs w:val="16"/>
        <w:rFonts w:cs="Arial"/>
      </w:rPr>
      <w:fldChar w:fldCharType="end"/>
    </w:r>
  </w:p>
  <w:p>
    <w:pPr>
      <w:pStyle w:val="Zpat"/>
      <w:ind w:right="360" w:hanging="0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80" w:hanging="420"/>
      </w:pPr>
      <w:rPr>
        <w:sz w:val="22"/>
        <w:szCs w:val="22"/>
        <w:rFonts w:ascii="Arial" w:hAnsi="Arial" w:cs="Arial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80" w:hanging="420"/>
      </w:pPr>
      <w:rPr>
        <w:sz w:val="22"/>
        <w:b w:val="false"/>
        <w:szCs w:val="22"/>
        <w:rFonts w:ascii="Arial" w:hAnsi="Arial" w:cs="Arial"/>
        <w:color w:val="000000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Arial" w:hAnsi="Arial" w:cs="Arial"/>
      <w:sz w:val="22"/>
      <w:szCs w:val="22"/>
    </w:rPr>
  </w:style>
  <w:style w:type="character" w:styleId="WW8Num2z0" w:customStyle="1">
    <w:name w:val="WW8Num2z0"/>
    <w:qFormat/>
    <w:rPr>
      <w:rFonts w:ascii="Arial" w:hAnsi="Arial" w:cs="Arial"/>
      <w:sz w:val="22"/>
      <w:szCs w:val="22"/>
      <w:shd w:fill="FFFF00" w:val="clear"/>
    </w:rPr>
  </w:style>
  <w:style w:type="character" w:styleId="WW8Num3z0" w:customStyle="1">
    <w:name w:val="WW8Num3z0"/>
    <w:qFormat/>
    <w:rPr>
      <w:rFonts w:ascii="Arial" w:hAnsi="Arial" w:cs="Arial"/>
      <w:b w:val="false"/>
      <w:color w:val="000000"/>
      <w:sz w:val="22"/>
      <w:szCs w:val="22"/>
    </w:rPr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ascii="Arial" w:hAnsi="Arial" w:cs="Arial"/>
      <w:sz w:val="22"/>
      <w:szCs w:val="22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Arial" w:hAnsi="Arial" w:cs="Arial"/>
      <w:sz w:val="22"/>
      <w:szCs w:val="22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Arial" w:hAnsi="Arial" w:cs="Arial"/>
      <w:sz w:val="22"/>
      <w:szCs w:val="22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>
      <w:rFonts w:ascii="Arial" w:hAnsi="Arial" w:cs="Arial"/>
      <w:b w:val="false"/>
      <w:sz w:val="22"/>
      <w:szCs w:val="22"/>
    </w:rPr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b w:val="false"/>
      <w:i w:val="false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Arial" w:hAnsi="Arial" w:cs="Arial"/>
      <w:sz w:val="22"/>
      <w:szCs w:val="22"/>
    </w:rPr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>
      <w:rFonts w:ascii="Arial" w:hAnsi="Arial" w:cs="Arial"/>
      <w:sz w:val="22"/>
      <w:szCs w:val="22"/>
    </w:rPr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Standardnpsmoodstavce1" w:customStyle="1">
    <w:name w:val="Standardní písmo odstavce1"/>
    <w:qFormat/>
    <w:rPr/>
  </w:style>
  <w:style w:type="character" w:styleId="Pagenumber">
    <w:name w:val="page number"/>
    <w:basedOn w:val="Standardnpsmoodstavce1"/>
    <w:qFormat/>
    <w:rPr/>
  </w:style>
  <w:style w:type="character" w:styleId="TextpoznpodarouChar" w:customStyle="1">
    <w:name w:val="Text pozn. pod čarou Char"/>
    <w:basedOn w:val="Standardnpsmoodstavce1"/>
    <w:qFormat/>
    <w:rPr/>
  </w:style>
  <w:style w:type="character" w:styleId="Znakypropoznmkupodarou" w:customStyle="1">
    <w:name w:val="Znaky pro poznámku pod čarou"/>
    <w:qFormat/>
    <w:rPr>
      <w:vertAlign w:val="superscript"/>
    </w:rPr>
  </w:style>
  <w:style w:type="character" w:styleId="Silnzdraznn" w:customStyle="1">
    <w:name w:val="Silné zdůraznění"/>
    <w:qFormat/>
    <w:rPr>
      <w:b/>
      <w:bCs/>
    </w:rPr>
  </w:style>
  <w:style w:type="character" w:styleId="ZhlavChar" w:customStyle="1">
    <w:name w:val="Záhlaví Char"/>
    <w:qFormat/>
    <w:rPr>
      <w:sz w:val="24"/>
      <w:szCs w:val="24"/>
    </w:rPr>
  </w:style>
  <w:style w:type="character" w:styleId="ZpatChar" w:customStyle="1">
    <w:name w:val="Zápatí Char"/>
    <w:qFormat/>
    <w:rPr>
      <w:sz w:val="24"/>
      <w:szCs w:val="24"/>
    </w:rPr>
  </w:style>
  <w:style w:type="character" w:styleId="TextbublinyChar" w:customStyle="1">
    <w:name w:val="Text bubliny Char"/>
    <w:qFormat/>
    <w:rPr>
      <w:rFonts w:ascii="Tahoma" w:hAnsi="Tahoma" w:cs="Tahoma"/>
      <w:sz w:val="16"/>
      <w:szCs w:val="16"/>
    </w:rPr>
  </w:style>
  <w:style w:type="character" w:styleId="Odkaznakoment1" w:customStyle="1">
    <w:name w:val="Odkaz na komentář1"/>
    <w:qFormat/>
    <w:rPr>
      <w:sz w:val="16"/>
      <w:szCs w:val="16"/>
    </w:rPr>
  </w:style>
  <w:style w:type="character" w:styleId="TextkomenteChar" w:customStyle="1">
    <w:name w:val="Text komentáře Char"/>
    <w:basedOn w:val="Standardnpsmoodstavce1"/>
    <w:qFormat/>
    <w:rPr/>
  </w:style>
  <w:style w:type="character" w:styleId="PedmtkomenteChar" w:customStyle="1">
    <w:name w:val="Předmět komentáře Char"/>
    <w:qFormat/>
    <w:rPr>
      <w:b/>
      <w:bCs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Zhlavazpat" w:customStyle="1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pat">
    <w:name w:val="Footer"/>
    <w:basedOn w:val="Normal"/>
    <w:pPr/>
    <w:rPr/>
  </w:style>
  <w:style w:type="paragraph" w:styleId="Poznmkapodarou">
    <w:name w:val="Footnote Text"/>
    <w:basedOn w:val="Normal"/>
    <w:pPr/>
    <w:rPr>
      <w:sz w:val="20"/>
      <w:szCs w:val="20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Zhlav">
    <w:name w:val="Header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zh-CN" w:bidi="ar-SA"/>
    </w:rPr>
  </w:style>
  <w:style w:type="paragraph" w:styleId="Textkomente1" w:customStyle="1">
    <w:name w:val="Text komentáře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Textkomente1"/>
    <w:next w:val="Textkomente1"/>
    <w:qFormat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766E2-6A19-46BB-A873-DCEF11A8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kupni_smlouva_obleky</Template>
  <TotalTime>61</TotalTime>
  <Application>LibreOffice/7.1.0.3$Windows_X86_64 LibreOffice_project/f6099ecf3d29644b5008cc8f48f42f4a40986e4c</Application>
  <AppVersion>15.0000</AppVersion>
  <Pages>3</Pages>
  <Words>848</Words>
  <Characters>4789</Characters>
  <CharactersWithSpaces>5698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2022-12-02T08:14:00Z</dcterms:created>
  <dc:creator>Dita KOSOVÁ</dc:creator>
  <dc:description/>
  <dc:language>cs-CZ</dc:language>
  <cp:lastModifiedBy/>
  <cp:lastPrinted>2022-12-05T14:36:06Z</cp:lastPrinted>
  <dcterms:modified xsi:type="dcterms:W3CDTF">2022-12-05T17:01:18Z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