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0000001" w14:textId="77777777" w:rsidR="00714DB3" w:rsidRDefault="00126DA3">
      <w:pPr>
        <w:widowControl/>
        <w:spacing w:line="276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bookmarkStart w:id="0" w:name="_GoBack"/>
      <w:r>
        <w:rPr>
          <w:rFonts w:ascii="Calibri" w:eastAsia="Calibri" w:hAnsi="Calibri" w:cs="Calibri"/>
          <w:b/>
          <w:sz w:val="32"/>
          <w:szCs w:val="32"/>
        </w:rPr>
        <w:t>Dodatek č. 1</w:t>
      </w:r>
    </w:p>
    <w:p w14:paraId="00000002" w14:textId="77777777" w:rsidR="00714DB3" w:rsidRDefault="00126DA3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4"/>
          <w:szCs w:val="24"/>
        </w:rPr>
        <w:t xml:space="preserve">číslo dodatku </w:t>
      </w:r>
      <w:r w:rsidRPr="00DC7D23">
        <w:rPr>
          <w:rFonts w:ascii="Calibri" w:eastAsia="Calibri" w:hAnsi="Calibri" w:cs="Calibri"/>
          <w:b/>
          <w:sz w:val="24"/>
          <w:szCs w:val="24"/>
        </w:rPr>
        <w:t>Poskytovatele: 1/2022</w:t>
      </w:r>
    </w:p>
    <w:p w14:paraId="00000003" w14:textId="36B4E7B9" w:rsidR="00714DB3" w:rsidRDefault="00126DA3">
      <w:pPr>
        <w:widowControl/>
        <w:spacing w:line="276" w:lineRule="auto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č.j. dodatku Objednatele: </w:t>
      </w:r>
      <w:r w:rsidR="00DC7D23">
        <w:rPr>
          <w:rFonts w:ascii="Calibri-Bold" w:hAnsi="Calibri-Bold" w:cs="Calibri-Bold"/>
          <w:b/>
          <w:bCs/>
          <w:sz w:val="24"/>
          <w:szCs w:val="24"/>
        </w:rPr>
        <w:t>133180/2022-OICT</w:t>
      </w:r>
    </w:p>
    <w:p w14:paraId="00000004" w14:textId="77777777" w:rsidR="00714DB3" w:rsidRDefault="00126DA3">
      <w:pPr>
        <w:widowControl/>
        <w:spacing w:line="276" w:lineRule="auto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32"/>
          <w:szCs w:val="32"/>
        </w:rPr>
        <w:t>ke Smlouvě o poskytování softwarových služeb - systém TRITIUS</w:t>
      </w:r>
    </w:p>
    <w:bookmarkEnd w:id="0"/>
    <w:p w14:paraId="00000005" w14:textId="77777777" w:rsidR="00714DB3" w:rsidRDefault="00126DA3">
      <w:pPr>
        <w:widowControl/>
        <w:tabs>
          <w:tab w:val="left" w:pos="5880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číslo smlouvy Poskytovatele: SAAS – 1/2018 </w:t>
      </w:r>
    </w:p>
    <w:p w14:paraId="00000006" w14:textId="77777777" w:rsidR="00714DB3" w:rsidRDefault="00126DA3">
      <w:pPr>
        <w:widowControl/>
        <w:tabs>
          <w:tab w:val="left" w:pos="5880"/>
        </w:tabs>
        <w:spacing w:line="276" w:lineRule="auto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číslo smlouvy Objednatele: SM6118-007, č.j. 105959/2018-OAIS</w:t>
      </w:r>
    </w:p>
    <w:p w14:paraId="00000007" w14:textId="77777777" w:rsidR="00714DB3" w:rsidRDefault="00714DB3">
      <w:pPr>
        <w:widowControl/>
        <w:tabs>
          <w:tab w:val="left" w:pos="5880"/>
        </w:tabs>
        <w:spacing w:line="276" w:lineRule="auto"/>
        <w:rPr>
          <w:rFonts w:ascii="Arial" w:eastAsia="Arial" w:hAnsi="Arial" w:cs="Arial"/>
          <w:color w:val="00000A"/>
          <w:sz w:val="22"/>
          <w:szCs w:val="22"/>
        </w:rPr>
      </w:pPr>
    </w:p>
    <w:p w14:paraId="00000008" w14:textId="77777777" w:rsidR="00714DB3" w:rsidRDefault="00126DA3">
      <w:pPr>
        <w:spacing w:line="276" w:lineRule="auto"/>
        <w:ind w:left="1620" w:hanging="162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Poskytovatel</w:t>
      </w:r>
      <w:r>
        <w:rPr>
          <w:rFonts w:ascii="Calibri" w:eastAsia="Calibri" w:hAnsi="Calibri" w:cs="Calibri"/>
          <w:b/>
          <w:sz w:val="22"/>
          <w:szCs w:val="22"/>
        </w:rPr>
        <w:t xml:space="preserve">: </w:t>
      </w: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09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Tritius Solutions a.s.</w:t>
      </w:r>
    </w:p>
    <w:p w14:paraId="0000000A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 Brno, Vodní 258/13, Staré Brno, 602 00 Brno</w:t>
      </w:r>
    </w:p>
    <w:p w14:paraId="0000000B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IČO: 05700582, DIČ:   CZ05700582, ID datové schránky: </w:t>
      </w:r>
      <w:r>
        <w:rPr>
          <w:rFonts w:ascii="Calibri" w:eastAsia="Calibri" w:hAnsi="Calibri" w:cs="Calibri"/>
          <w:color w:val="1E2D3C"/>
          <w:sz w:val="22"/>
          <w:szCs w:val="22"/>
          <w:shd w:val="clear" w:color="auto" w:fill="FAFAFA"/>
        </w:rPr>
        <w:t>dvj9x5c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0C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zapsaná v obchodním rejstříku vedeném u krajského soudu v Brně, v oddílu B, vložka 7644</w:t>
      </w:r>
    </w:p>
    <w:p w14:paraId="0000000D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Bankovní spojení : č.ú. 115-3913000287/0100 Komerční banka, a.s.</w:t>
      </w:r>
    </w:p>
    <w:p w14:paraId="0000000E" w14:textId="305144FC" w:rsidR="00714DB3" w:rsidRDefault="00126DA3">
      <w:pPr>
        <w:spacing w:line="276" w:lineRule="auto"/>
        <w:ind w:left="357" w:hanging="357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jednající: </w:t>
      </w:r>
      <w:r w:rsidR="00D24F3C">
        <w:rPr>
          <w:rFonts w:ascii="Calibri" w:eastAsia="Calibri" w:hAnsi="Calibri" w:cs="Calibri"/>
          <w:sz w:val="22"/>
          <w:szCs w:val="22"/>
        </w:rPr>
        <w:t>xxxxxxxxxx</w:t>
      </w:r>
      <w:r>
        <w:rPr>
          <w:rFonts w:ascii="Calibri" w:eastAsia="Calibri" w:hAnsi="Calibri" w:cs="Calibri"/>
          <w:sz w:val="22"/>
          <w:szCs w:val="22"/>
        </w:rPr>
        <w:t>, předseda představenstva</w:t>
      </w:r>
    </w:p>
    <w:p w14:paraId="0000000F" w14:textId="77777777" w:rsidR="00714DB3" w:rsidRDefault="00714DB3">
      <w:pPr>
        <w:spacing w:line="276" w:lineRule="auto"/>
        <w:ind w:left="357" w:hanging="357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10" w14:textId="77777777" w:rsidR="00714DB3" w:rsidRDefault="00714DB3">
      <w:pPr>
        <w:spacing w:line="276" w:lineRule="auto"/>
        <w:ind w:left="357" w:hanging="357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11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b/>
          <w:sz w:val="23"/>
          <w:szCs w:val="23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Objednatel</w:t>
      </w:r>
      <w:r>
        <w:rPr>
          <w:rFonts w:ascii="Calibri" w:eastAsia="Calibri" w:hAnsi="Calibri" w:cs="Calibri"/>
          <w:b/>
          <w:sz w:val="23"/>
          <w:szCs w:val="23"/>
        </w:rPr>
        <w:t>:</w:t>
      </w:r>
      <w:r>
        <w:rPr>
          <w:rFonts w:ascii="Calibri" w:eastAsia="Calibri" w:hAnsi="Calibri" w:cs="Calibri"/>
          <w:b/>
          <w:sz w:val="23"/>
          <w:szCs w:val="23"/>
        </w:rPr>
        <w:tab/>
      </w:r>
    </w:p>
    <w:p w14:paraId="00000012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Česká republika – Ministerstvo zahraničních věcí </w:t>
      </w:r>
    </w:p>
    <w:p w14:paraId="00000013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sídlem: Loretánské nám. 101/5, 118 00 Praha 1</w:t>
      </w:r>
    </w:p>
    <w:p w14:paraId="00000014" w14:textId="77777777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IČO: 45769851, DIČ: CZ45769851</w:t>
      </w:r>
    </w:p>
    <w:p w14:paraId="00000015" w14:textId="77777777" w:rsidR="00714DB3" w:rsidRDefault="00126DA3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2977"/>
        </w:tabs>
        <w:spacing w:line="276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Bankovní spojení: č. ú. 000000-17228001/0710 Česká národní banka Praha</w:t>
      </w:r>
    </w:p>
    <w:p w14:paraId="00000016" w14:textId="18998D60" w:rsidR="00714DB3" w:rsidRDefault="00126DA3">
      <w:pPr>
        <w:widowControl/>
        <w:spacing w:line="276" w:lineRule="auto"/>
        <w:ind w:left="357" w:hanging="357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jednající: </w:t>
      </w:r>
      <w:r w:rsidR="00D24F3C">
        <w:rPr>
          <w:rFonts w:ascii="Calibri" w:eastAsia="Calibri" w:hAnsi="Calibri" w:cs="Calibri"/>
          <w:sz w:val="22"/>
          <w:szCs w:val="22"/>
        </w:rPr>
        <w:t>xxxxxxxxxx</w:t>
      </w:r>
      <w:r>
        <w:rPr>
          <w:rFonts w:ascii="Calibri" w:eastAsia="Calibri" w:hAnsi="Calibri" w:cs="Calibri"/>
          <w:sz w:val="22"/>
          <w:szCs w:val="22"/>
        </w:rPr>
        <w:t>, ředitel odboru informačních a komunikačních</w:t>
      </w:r>
    </w:p>
    <w:p w14:paraId="00000017" w14:textId="77777777" w:rsidR="00714DB3" w:rsidRDefault="00714DB3">
      <w:pPr>
        <w:widowControl/>
        <w:spacing w:line="276" w:lineRule="auto"/>
        <w:rPr>
          <w:rFonts w:ascii="Calibri" w:eastAsia="Calibri" w:hAnsi="Calibri" w:cs="Calibri"/>
          <w:sz w:val="23"/>
          <w:szCs w:val="23"/>
        </w:rPr>
      </w:pPr>
    </w:p>
    <w:p w14:paraId="00000018" w14:textId="77777777" w:rsidR="00714DB3" w:rsidRDefault="00714DB3">
      <w:pPr>
        <w:widowControl/>
        <w:spacing w:line="276" w:lineRule="auto"/>
        <w:ind w:left="357" w:hanging="357"/>
        <w:rPr>
          <w:rFonts w:ascii="Calibri" w:eastAsia="Calibri" w:hAnsi="Calibri" w:cs="Calibri"/>
          <w:sz w:val="23"/>
          <w:szCs w:val="23"/>
        </w:rPr>
      </w:pPr>
    </w:p>
    <w:p w14:paraId="00000019" w14:textId="77777777" w:rsidR="00714DB3" w:rsidRDefault="00714DB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1A" w14:textId="77777777" w:rsidR="00714DB3" w:rsidRDefault="00126DA3">
      <w:pPr>
        <w:widowControl/>
        <w:numPr>
          <w:ilvl w:val="0"/>
          <w:numId w:val="1"/>
        </w:numPr>
        <w:tabs>
          <w:tab w:val="left" w:pos="426"/>
          <w:tab w:val="left" w:pos="852"/>
        </w:tabs>
        <w:spacing w:line="276" w:lineRule="auto"/>
        <w:ind w:left="426" w:hanging="426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Předmět dodatku</w:t>
      </w:r>
    </w:p>
    <w:p w14:paraId="0000001B" w14:textId="77777777" w:rsidR="00714DB3" w:rsidRDefault="00126DA3">
      <w:pPr>
        <w:widowControl/>
        <w:numPr>
          <w:ilvl w:val="1"/>
          <w:numId w:val="3"/>
        </w:numPr>
        <w:tabs>
          <w:tab w:val="left" w:pos="1069"/>
          <w:tab w:val="left" w:pos="1418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Smluvní strany shodně konstatují, že dne 25.6.2018 byla mezi smluvními stranami uzavřena Smlouva o poskytování softwarových služeb - systém TRITIUS, číslo smlouvy Poskytovatele: SAAS – 1/2018, číslo smlouvy Objednatele: SM6118-007, č.j. 105959/2018-OAIS (dále jen „Smlouva“). </w:t>
      </w:r>
    </w:p>
    <w:p w14:paraId="0000001C" w14:textId="77777777" w:rsidR="00714DB3" w:rsidRDefault="00714DB3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</w:pPr>
    </w:p>
    <w:p w14:paraId="0000001D" w14:textId="77777777" w:rsidR="00714DB3" w:rsidRDefault="00126DA3">
      <w:pPr>
        <w:widowControl/>
        <w:numPr>
          <w:ilvl w:val="1"/>
          <w:numId w:val="3"/>
        </w:numPr>
        <w:tabs>
          <w:tab w:val="left" w:pos="1069"/>
          <w:tab w:val="left" w:pos="1418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Smluvní strany se na základě ustanovení čl. I.1.3. Smlouvy dohodly na změně Smlouvy uzavřením tohoto dodatku (dále jen „Dodatek č. 1“), a to způsobem uvedeným dále v tomto článku.</w:t>
      </w:r>
    </w:p>
    <w:p w14:paraId="0000001E" w14:textId="77777777" w:rsidR="00714DB3" w:rsidRDefault="00714DB3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  <w:rPr>
          <w:color w:val="00000A"/>
        </w:rPr>
      </w:pPr>
    </w:p>
    <w:p w14:paraId="0000001F" w14:textId="77777777" w:rsidR="00714DB3" w:rsidRDefault="00126DA3">
      <w:pPr>
        <w:widowControl/>
        <w:numPr>
          <w:ilvl w:val="1"/>
          <w:numId w:val="3"/>
        </w:numPr>
        <w:tabs>
          <w:tab w:val="left" w:pos="1069"/>
          <w:tab w:val="left" w:pos="1418"/>
        </w:tabs>
        <w:spacing w:line="276" w:lineRule="auto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 xml:space="preserve">Příloha č. 1 Smlouvy je nahrazena Přílohou č. 1 tohoto Dodatku č. 1. </w:t>
      </w:r>
    </w:p>
    <w:p w14:paraId="00000020" w14:textId="77777777" w:rsidR="00714DB3" w:rsidRDefault="00714DB3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  <w:rPr>
          <w:color w:val="00000A"/>
        </w:rPr>
      </w:pPr>
    </w:p>
    <w:p w14:paraId="00000021" w14:textId="77777777" w:rsidR="00714DB3" w:rsidRDefault="00714DB3">
      <w:pPr>
        <w:widowControl/>
        <w:spacing w:line="276" w:lineRule="auto"/>
        <w:ind w:left="709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22" w14:textId="77777777" w:rsidR="00714DB3" w:rsidRDefault="00126DA3">
      <w:pPr>
        <w:widowControl/>
        <w:numPr>
          <w:ilvl w:val="0"/>
          <w:numId w:val="1"/>
        </w:numPr>
        <w:tabs>
          <w:tab w:val="left" w:pos="426"/>
          <w:tab w:val="left" w:pos="852"/>
        </w:tabs>
        <w:spacing w:line="276" w:lineRule="auto"/>
        <w:ind w:left="426" w:hanging="426"/>
        <w:jc w:val="center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b/>
          <w:sz w:val="24"/>
          <w:szCs w:val="24"/>
        </w:rPr>
        <w:t>Závěrečná ujednání</w:t>
      </w:r>
    </w:p>
    <w:p w14:paraId="00000023" w14:textId="77777777" w:rsidR="00714DB3" w:rsidRDefault="00126DA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Smluvní strany tímto potvrzují, že ostatní ustanovení a podmínky Smlouvy neupravené tímto Dodatkem č. 1 zůstávají nedotčené a nadále platné ve znění Smlouvy. </w:t>
      </w:r>
    </w:p>
    <w:p w14:paraId="00000024" w14:textId="77777777" w:rsidR="00714DB3" w:rsidRDefault="00714DB3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</w:pPr>
    </w:p>
    <w:p w14:paraId="00000025" w14:textId="77777777" w:rsidR="00714DB3" w:rsidRDefault="00126DA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jc w:val="both"/>
      </w:pPr>
      <w:r>
        <w:rPr>
          <w:rFonts w:ascii="Calibri" w:eastAsia="Calibri" w:hAnsi="Calibri" w:cs="Calibri"/>
          <w:color w:val="000000"/>
          <w:sz w:val="22"/>
          <w:szCs w:val="22"/>
        </w:rPr>
        <w:lastRenderedPageBreak/>
        <w:tab/>
        <w:t>Smluvní strany souhlasí s tím, aby tento Dodatek č. 1 byl uveřejněn v registru smluv v souladu se zákonem č. 340/2015 Sb., o zvláštních podmínkách účinnosti některých smluv, uveřejňování těchto smluv a o registru smluv (zákon o registru smluv), ve znění pozdějších předpisů (dále jen „zákon č. 340/2015 Sb.“).</w:t>
      </w:r>
    </w:p>
    <w:p w14:paraId="00000026" w14:textId="77777777" w:rsidR="00714DB3" w:rsidRDefault="00714DB3">
      <w:pPr>
        <w:widowControl/>
        <w:tabs>
          <w:tab w:val="left" w:pos="1069"/>
          <w:tab w:val="left" w:pos="1418"/>
        </w:tabs>
        <w:spacing w:line="276" w:lineRule="auto"/>
        <w:ind w:left="360"/>
        <w:jc w:val="both"/>
        <w:rPr>
          <w:color w:val="00000A"/>
        </w:rPr>
      </w:pPr>
    </w:p>
    <w:p w14:paraId="00000027" w14:textId="77777777" w:rsidR="00714DB3" w:rsidRDefault="00126DA3">
      <w:pPr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69"/>
          <w:tab w:val="left" w:pos="1418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ab/>
        <w:t>Tento Dodatek č. 1 nabývá platnosti dnem podpisu oběma smluvními stranami a účinnosti dnem uveřejnění podle zákona č. 340/2015 Sb.</w:t>
      </w:r>
    </w:p>
    <w:p w14:paraId="00000028" w14:textId="77777777" w:rsidR="00714DB3" w:rsidRDefault="00714D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9" w14:textId="13E8B8FD" w:rsidR="00714DB3" w:rsidRDefault="00126DA3">
      <w:pPr>
        <w:widowControl/>
        <w:numPr>
          <w:ilvl w:val="1"/>
          <w:numId w:val="1"/>
        </w:numPr>
        <w:tabs>
          <w:tab w:val="left" w:pos="1069"/>
          <w:tab w:val="left" w:pos="1418"/>
        </w:tabs>
        <w:spacing w:line="276" w:lineRule="auto"/>
        <w:jc w:val="both"/>
        <w:rPr>
          <w:color w:val="00000A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Tento Dodatek č. 1 </w:t>
      </w:r>
      <w:r w:rsidR="00F20629">
        <w:rPr>
          <w:rFonts w:ascii="Calibri" w:eastAsia="Calibri" w:hAnsi="Calibri" w:cs="Calibri"/>
          <w:sz w:val="22"/>
          <w:szCs w:val="22"/>
        </w:rPr>
        <w:t>je smluvními stranami uzavírán elektronicky.</w:t>
      </w:r>
    </w:p>
    <w:p w14:paraId="0000002A" w14:textId="77777777" w:rsidR="00714DB3" w:rsidRDefault="00714DB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A"/>
        </w:rPr>
      </w:pPr>
    </w:p>
    <w:p w14:paraId="0000002B" w14:textId="620D84D2" w:rsidR="00714DB3" w:rsidRDefault="00126DA3">
      <w:pPr>
        <w:widowControl/>
        <w:numPr>
          <w:ilvl w:val="1"/>
          <w:numId w:val="1"/>
        </w:numPr>
        <w:tabs>
          <w:tab w:val="left" w:pos="1069"/>
          <w:tab w:val="left" w:pos="141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Smluvní strany prohlašují, že si tento Dodatek č. 1 přečetly, jeho obsahu porozuměly a že je projevem jejich pravé a svobodné vůle prosté jakéhokoliv omylu, na důkaz čehož připojují své elektronické podpisy.</w:t>
      </w:r>
    </w:p>
    <w:p w14:paraId="0000002C" w14:textId="77777777" w:rsidR="00714DB3" w:rsidRDefault="00714DB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14:paraId="0000002D" w14:textId="77777777" w:rsidR="00714DB3" w:rsidRDefault="00126DA3">
      <w:pPr>
        <w:widowControl/>
        <w:numPr>
          <w:ilvl w:val="1"/>
          <w:numId w:val="1"/>
        </w:numPr>
        <w:tabs>
          <w:tab w:val="left" w:pos="1069"/>
          <w:tab w:val="left" w:pos="1418"/>
        </w:tabs>
        <w:spacing w:line="276" w:lineRule="auto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Součástí tohoto Dodatku č. 1 je Příloha č. 1 – Specifikace Služby systému Tritius</w:t>
      </w:r>
    </w:p>
    <w:p w14:paraId="0000002E" w14:textId="77777777" w:rsidR="00714DB3" w:rsidRDefault="00714DB3">
      <w:pPr>
        <w:widowControl/>
        <w:tabs>
          <w:tab w:val="left" w:pos="1069"/>
          <w:tab w:val="left" w:pos="1418"/>
        </w:tabs>
        <w:spacing w:line="276" w:lineRule="auto"/>
        <w:ind w:left="709" w:hanging="709"/>
        <w:rPr>
          <w:rFonts w:ascii="Calibri" w:eastAsia="Calibri" w:hAnsi="Calibri" w:cs="Calibri"/>
          <w:sz w:val="22"/>
          <w:szCs w:val="22"/>
        </w:rPr>
      </w:pPr>
    </w:p>
    <w:p w14:paraId="0000002F" w14:textId="77777777" w:rsidR="00714DB3" w:rsidRDefault="00714DB3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0" w14:textId="77777777" w:rsidR="00714DB3" w:rsidRDefault="00714DB3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1" w14:textId="77777777" w:rsidR="00714DB3" w:rsidRDefault="00714DB3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2" w14:textId="77777777" w:rsidR="00714DB3" w:rsidRDefault="00126DA3">
      <w:pPr>
        <w:widowControl/>
        <w:spacing w:line="276" w:lineRule="auto"/>
        <w:ind w:left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V Brně dne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V Praze dne  </w:t>
      </w:r>
    </w:p>
    <w:p w14:paraId="00000033" w14:textId="77777777" w:rsidR="00714DB3" w:rsidRDefault="00714DB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4" w14:textId="77777777" w:rsidR="00714DB3" w:rsidRDefault="00126DA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Za Poskytovatele: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Za Objednatele:</w:t>
      </w:r>
    </w:p>
    <w:p w14:paraId="00000035" w14:textId="77777777" w:rsidR="00714DB3" w:rsidRDefault="00714DB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6" w14:textId="77777777" w:rsidR="00714DB3" w:rsidRDefault="00714DB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7" w14:textId="77777777" w:rsidR="00714DB3" w:rsidRDefault="00714DB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38" w14:textId="77777777" w:rsidR="00714DB3" w:rsidRDefault="00126DA3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………………………………………...</w:t>
      </w:r>
    </w:p>
    <w:p w14:paraId="00000039" w14:textId="77777777" w:rsidR="00714DB3" w:rsidRDefault="00714DB3">
      <w:pPr>
        <w:widowControl/>
        <w:spacing w:line="276" w:lineRule="auto"/>
        <w:ind w:left="283"/>
        <w:jc w:val="both"/>
        <w:rPr>
          <w:rFonts w:ascii="Calibri" w:eastAsia="Calibri" w:hAnsi="Calibri" w:cs="Calibri"/>
          <w:sz w:val="22"/>
          <w:szCs w:val="22"/>
        </w:rPr>
      </w:pPr>
    </w:p>
    <w:p w14:paraId="0000003A" w14:textId="77777777" w:rsidR="00714DB3" w:rsidRDefault="00126DA3">
      <w:pPr>
        <w:rPr>
          <w:rFonts w:ascii="Calibri" w:eastAsia="Calibri" w:hAnsi="Calibri" w:cs="Calibri"/>
          <w:sz w:val="22"/>
          <w:szCs w:val="22"/>
        </w:rPr>
      </w:pPr>
      <w:r>
        <w:br w:type="page"/>
      </w:r>
    </w:p>
    <w:p w14:paraId="0000003B" w14:textId="77777777" w:rsidR="00714DB3" w:rsidRDefault="00126DA3">
      <w:pPr>
        <w:widowControl/>
        <w:spacing w:line="276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Příloha č. 1 Dodatku č. 1 s názvem: </w:t>
      </w:r>
    </w:p>
    <w:p w14:paraId="0000003C" w14:textId="77777777" w:rsidR="00714DB3" w:rsidRDefault="00714DB3">
      <w:pPr>
        <w:widowControl/>
        <w:spacing w:line="276" w:lineRule="auto"/>
        <w:ind w:left="1080"/>
        <w:rPr>
          <w:rFonts w:ascii="Arial" w:eastAsia="Arial" w:hAnsi="Arial" w:cs="Arial"/>
          <w:b/>
          <w:sz w:val="24"/>
          <w:szCs w:val="24"/>
        </w:rPr>
      </w:pPr>
    </w:p>
    <w:p w14:paraId="0000003D" w14:textId="77777777" w:rsidR="00714DB3" w:rsidRDefault="00126DA3">
      <w:pPr>
        <w:widowControl/>
        <w:spacing w:line="276" w:lineRule="auto"/>
        <w:ind w:left="108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Příloha č. 1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ke smlouvě č. SAAS – 1/2018 ve znění jejích příloh</w:t>
      </w:r>
    </w:p>
    <w:p w14:paraId="0000003E" w14:textId="77777777" w:rsidR="00714DB3" w:rsidRDefault="00126DA3">
      <w:pPr>
        <w:widowControl/>
        <w:spacing w:line="276" w:lineRule="auto"/>
        <w:ind w:left="1080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Calibri" w:eastAsia="Calibri" w:hAnsi="Calibri" w:cs="Calibri"/>
          <w:sz w:val="24"/>
          <w:szCs w:val="24"/>
        </w:rPr>
        <w:t xml:space="preserve">číslo smlouvy Objednatele: </w:t>
      </w:r>
      <w:r>
        <w:rPr>
          <w:rFonts w:ascii="Arial" w:eastAsia="Arial" w:hAnsi="Arial" w:cs="Arial"/>
        </w:rPr>
        <w:t>SM6118-007</w:t>
      </w:r>
      <w:r>
        <w:rPr>
          <w:rFonts w:ascii="Calibri" w:eastAsia="Calibri" w:hAnsi="Calibri" w:cs="Calibri"/>
          <w:sz w:val="24"/>
          <w:szCs w:val="24"/>
        </w:rPr>
        <w:t>, č.j. 105959/2018-OAIS</w:t>
      </w:r>
    </w:p>
    <w:p w14:paraId="0000003F" w14:textId="77777777" w:rsidR="00714DB3" w:rsidRDefault="00126DA3">
      <w:pPr>
        <w:widowControl/>
        <w:spacing w:line="276" w:lineRule="auto"/>
        <w:ind w:left="36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8"/>
          <w:szCs w:val="28"/>
        </w:rPr>
        <w:t>Specifikace služby systému Tritius</w:t>
      </w:r>
    </w:p>
    <w:p w14:paraId="00000040" w14:textId="77777777" w:rsidR="00714DB3" w:rsidRDefault="00714DB3">
      <w:pPr>
        <w:widowControl/>
        <w:spacing w:line="264" w:lineRule="auto"/>
        <w:jc w:val="center"/>
        <w:rPr>
          <w:rFonts w:ascii="Arial" w:eastAsia="Arial" w:hAnsi="Arial" w:cs="Arial"/>
          <w:sz w:val="22"/>
          <w:szCs w:val="22"/>
        </w:rPr>
      </w:pPr>
    </w:p>
    <w:p w14:paraId="00000041" w14:textId="77777777" w:rsidR="00714DB3" w:rsidRDefault="00126DA3">
      <w:pPr>
        <w:widowControl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Smluvní strany</w:t>
      </w:r>
    </w:p>
    <w:p w14:paraId="00000042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Poskytovatel: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Tritius Solutions a.s.</w:t>
      </w:r>
    </w:p>
    <w:p w14:paraId="00000043" w14:textId="77777777" w:rsidR="00714DB3" w:rsidRDefault="00126DA3">
      <w:pPr>
        <w:widowControl/>
        <w:spacing w:line="276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se sídlem: Brno, Vodní 258/13, 602 00 Brno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IČ: 05700582, DIČ:   CZ05700582</w:t>
      </w:r>
    </w:p>
    <w:p w14:paraId="00000044" w14:textId="77777777" w:rsidR="00714DB3" w:rsidRDefault="00126DA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  <w:sz w:val="22"/>
          <w:szCs w:val="22"/>
          <w:u w:val="single"/>
        </w:rPr>
        <w:t>Objednatel</w:t>
      </w:r>
      <w:r>
        <w:rPr>
          <w:b/>
          <w:color w:val="000000"/>
          <w:sz w:val="24"/>
          <w:szCs w:val="24"/>
          <w:u w:val="single"/>
        </w:rPr>
        <w:t>:</w:t>
      </w:r>
      <w:r>
        <w:rPr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  <w:sz w:val="28"/>
          <w:szCs w:val="28"/>
        </w:rPr>
        <w:t>Česká republika – Ministerstvo zahraničních věcí</w:t>
      </w:r>
      <w:r>
        <w:rPr>
          <w:color w:val="000000"/>
        </w:rPr>
        <w:t xml:space="preserve">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b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2"/>
          <w:szCs w:val="22"/>
        </w:rPr>
        <w:t>se sídlem: Loretánské nám. 101/5, 118 00 Praha 1,  IČO: 45769851, DIČ: CZ45769851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br/>
      </w:r>
    </w:p>
    <w:p w14:paraId="00000045" w14:textId="77777777" w:rsidR="00714DB3" w:rsidRDefault="00126DA3">
      <w:pPr>
        <w:widowControl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Úvodní ustanovení</w:t>
      </w:r>
    </w:p>
    <w:p w14:paraId="00000046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Tato specifikace je nedílnou součástí Smlouvy o poskytování softwarových služeb - systém Tritius, jako její nová Příloha č. 1, která nahrazuje Přílohu č. 1 Smlouvy ve znění platném do začátku účinnosti Dodatku č. 1.</w:t>
      </w:r>
    </w:p>
    <w:p w14:paraId="00000047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V případě rozdílu mezi úpravou obsaženou v této specifikaci služeb a úpravou obsaženou ve Smlouvě, je rozhodující úprava dle tohoto pořadí:</w:t>
      </w:r>
    </w:p>
    <w:p w14:paraId="00000048" w14:textId="77777777" w:rsidR="00714DB3" w:rsidRDefault="00126DA3">
      <w:pPr>
        <w:widowControl/>
        <w:numPr>
          <w:ilvl w:val="2"/>
          <w:numId w:val="2"/>
        </w:numPr>
        <w:tabs>
          <w:tab w:val="left" w:pos="2064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Smlouva ve znění Dodatku č. 1</w:t>
      </w:r>
    </w:p>
    <w:p w14:paraId="00000049" w14:textId="77777777" w:rsidR="00714DB3" w:rsidRDefault="00126DA3">
      <w:pPr>
        <w:widowControl/>
        <w:numPr>
          <w:ilvl w:val="2"/>
          <w:numId w:val="2"/>
        </w:numPr>
        <w:tabs>
          <w:tab w:val="left" w:pos="2064"/>
        </w:tabs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>Specifikace služby Tritius jako nová Příloha č. 1 Smlouvy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4A" w14:textId="77777777" w:rsidR="00714DB3" w:rsidRDefault="00126DA3">
      <w:pPr>
        <w:widowControl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Služba zahrnuje</w:t>
      </w:r>
    </w:p>
    <w:p w14:paraId="0000004B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Právo používat systém Tritius dle VOP, velikostní licence: </w:t>
      </w:r>
      <w:r>
        <w:rPr>
          <w:rFonts w:ascii="Calibri" w:eastAsia="Calibri" w:hAnsi="Calibri" w:cs="Calibri"/>
          <w:b/>
          <w:sz w:val="22"/>
          <w:szCs w:val="22"/>
        </w:rPr>
        <w:t>do 20.000 svazků</w:t>
      </w:r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4C" w14:textId="77777777" w:rsidR="00714DB3" w:rsidRDefault="00126DA3">
      <w:pPr>
        <w:widowControl/>
        <w:numPr>
          <w:ilvl w:val="2"/>
          <w:numId w:val="2"/>
        </w:numPr>
        <w:tabs>
          <w:tab w:val="left" w:pos="2064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Akvizice všech druhů dokumentů</w:t>
      </w:r>
    </w:p>
    <w:p w14:paraId="0000004D" w14:textId="77777777" w:rsidR="00714DB3" w:rsidRDefault="00126DA3">
      <w:pPr>
        <w:widowControl/>
        <w:numPr>
          <w:ilvl w:val="2"/>
          <w:numId w:val="2"/>
        </w:numPr>
        <w:tabs>
          <w:tab w:val="left" w:pos="2064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Katalogizace všech druhů dokumentů</w:t>
      </w:r>
    </w:p>
    <w:p w14:paraId="0000004E" w14:textId="77777777" w:rsidR="00714DB3" w:rsidRDefault="00126DA3">
      <w:pPr>
        <w:widowControl/>
        <w:numPr>
          <w:ilvl w:val="2"/>
          <w:numId w:val="2"/>
        </w:numPr>
        <w:tabs>
          <w:tab w:val="left" w:pos="2064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Z-klient (pasivní) +Tisk č. kódů </w:t>
      </w:r>
    </w:p>
    <w:p w14:paraId="0000004F" w14:textId="77777777" w:rsidR="00714DB3" w:rsidRDefault="00126DA3">
      <w:pPr>
        <w:widowControl/>
        <w:numPr>
          <w:ilvl w:val="2"/>
          <w:numId w:val="2"/>
        </w:numPr>
        <w:tabs>
          <w:tab w:val="left" w:pos="2064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Webový katalog Tritius</w:t>
      </w:r>
    </w:p>
    <w:p w14:paraId="00000050" w14:textId="77777777" w:rsidR="00714DB3" w:rsidRDefault="00126DA3">
      <w:pPr>
        <w:widowControl/>
        <w:numPr>
          <w:ilvl w:val="2"/>
          <w:numId w:val="2"/>
        </w:numPr>
        <w:tabs>
          <w:tab w:val="left" w:pos="2064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Výpůjční protokol</w:t>
      </w:r>
    </w:p>
    <w:p w14:paraId="00000051" w14:textId="77777777" w:rsidR="00714DB3" w:rsidRDefault="00714DB3">
      <w:pPr>
        <w:widowControl/>
        <w:tabs>
          <w:tab w:val="left" w:pos="2064"/>
        </w:tabs>
        <w:spacing w:line="276" w:lineRule="auto"/>
        <w:ind w:left="1440"/>
        <w:jc w:val="both"/>
        <w:rPr>
          <w:rFonts w:ascii="Calibri" w:eastAsia="Calibri" w:hAnsi="Calibri" w:cs="Calibri"/>
          <w:sz w:val="22"/>
          <w:szCs w:val="22"/>
        </w:rPr>
      </w:pPr>
    </w:p>
    <w:p w14:paraId="00000052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Využívání služby systému Tritius v </w:t>
      </w:r>
      <w:r>
        <w:rPr>
          <w:rFonts w:ascii="Calibri" w:eastAsia="Calibri" w:hAnsi="Calibri" w:cs="Calibri"/>
          <w:b/>
          <w:sz w:val="22"/>
          <w:szCs w:val="22"/>
        </w:rPr>
        <w:t>sólo</w:t>
      </w:r>
      <w:r>
        <w:rPr>
          <w:rFonts w:ascii="Calibri" w:eastAsia="Calibri" w:hAnsi="Calibri" w:cs="Calibri"/>
          <w:sz w:val="22"/>
          <w:szCs w:val="22"/>
        </w:rPr>
        <w:t xml:space="preserve"> režimu</w:t>
      </w:r>
    </w:p>
    <w:p w14:paraId="00000053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 xml:space="preserve">Provoz na webové adrese </w:t>
      </w:r>
      <w:hyperlink r:id="rId8">
        <w:r>
          <w:rPr>
            <w:rFonts w:ascii="Calibri" w:eastAsia="Calibri" w:hAnsi="Calibri" w:cs="Calibri"/>
            <w:b/>
            <w:color w:val="1155CC"/>
            <w:sz w:val="22"/>
            <w:szCs w:val="22"/>
            <w:u w:val="single"/>
          </w:rPr>
          <w:t>https://mzv.tritius.cz</w:t>
        </w:r>
      </w:hyperlink>
      <w:r>
        <w:rPr>
          <w:rFonts w:ascii="Calibri" w:eastAsia="Calibri" w:hAnsi="Calibri" w:cs="Calibri"/>
          <w:sz w:val="22"/>
          <w:szCs w:val="22"/>
        </w:rPr>
        <w:t xml:space="preserve"> </w:t>
      </w:r>
    </w:p>
    <w:p w14:paraId="00000054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Dostupnost systému dle VOP</w:t>
      </w:r>
    </w:p>
    <w:p w14:paraId="00000055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Serverový HW a jeho obnovu v čase, náklady na napájení a chlazení serveru</w:t>
      </w:r>
    </w:p>
    <w:p w14:paraId="00000056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>Zálohování dat, monitoring systému, záruční servis, update systému.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57" w14:textId="77777777" w:rsidR="00714DB3" w:rsidRDefault="00714D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1080" w:hanging="72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0000058" w14:textId="77777777" w:rsidR="00714DB3" w:rsidRDefault="00126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 xml:space="preserve">Celková cena </w:t>
      </w:r>
    </w:p>
    <w:p w14:paraId="00000059" w14:textId="77777777" w:rsidR="00714DB3" w:rsidRDefault="00126DA3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Celková cena služby je 307 200 Kč,- Kč na dobu plnění pěti (5) let od data účinnosti Smlouvy.</w:t>
      </w:r>
    </w:p>
    <w:p w14:paraId="0000005A" w14:textId="77777777" w:rsidR="00714DB3" w:rsidRDefault="00126DA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1080" w:hanging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br/>
      </w:r>
      <w:r>
        <w:br w:type="page"/>
      </w:r>
    </w:p>
    <w:p w14:paraId="0000005B" w14:textId="77777777" w:rsidR="00714DB3" w:rsidRDefault="00714DB3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1080" w:hanging="720"/>
        <w:rPr>
          <w:rFonts w:ascii="Calibri" w:eastAsia="Calibri" w:hAnsi="Calibri" w:cs="Calibri"/>
          <w:sz w:val="22"/>
          <w:szCs w:val="22"/>
        </w:rPr>
      </w:pPr>
    </w:p>
    <w:p w14:paraId="0000005C" w14:textId="77777777" w:rsidR="00714DB3" w:rsidRDefault="00126DA3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rPr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Platební podmínky</w:t>
      </w:r>
    </w:p>
    <w:p w14:paraId="0000005D" w14:textId="77777777" w:rsidR="00714DB3" w:rsidRDefault="00126DA3">
      <w:pPr>
        <w:widowControl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080"/>
        </w:tabs>
        <w:spacing w:line="276" w:lineRule="auto"/>
        <w:ind w:left="360"/>
        <w:rPr>
          <w:color w:val="000000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Platby budou prováděny na základě faktury zpětně po čtvrtletním plnění služby</w:t>
      </w:r>
    </w:p>
    <w:p w14:paraId="0000005E" w14:textId="77777777" w:rsidR="00714DB3" w:rsidRDefault="00126DA3">
      <w:pPr>
        <w:widowControl/>
        <w:tabs>
          <w:tab w:val="left" w:pos="108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Měsíční cena služby činí celkem bez DPH: </w:t>
      </w:r>
      <w:r>
        <w:rPr>
          <w:rFonts w:ascii="Arial" w:eastAsia="Arial" w:hAnsi="Arial" w:cs="Arial"/>
          <w:b/>
          <w:sz w:val="22"/>
          <w:szCs w:val="22"/>
        </w:rPr>
        <w:tab/>
        <w:t>5 120 Kč</w:t>
      </w:r>
    </w:p>
    <w:p w14:paraId="0000005F" w14:textId="77777777" w:rsidR="00714DB3" w:rsidRDefault="00126DA3">
      <w:pPr>
        <w:widowControl/>
        <w:tabs>
          <w:tab w:val="left" w:pos="108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Měsíční cena služby činí celkem s DPH:     </w:t>
      </w:r>
      <w:r>
        <w:rPr>
          <w:rFonts w:ascii="Arial" w:eastAsia="Arial" w:hAnsi="Arial" w:cs="Arial"/>
          <w:b/>
          <w:sz w:val="22"/>
          <w:szCs w:val="22"/>
        </w:rPr>
        <w:tab/>
        <w:t>6 195 Kč</w:t>
      </w:r>
    </w:p>
    <w:p w14:paraId="00000060" w14:textId="77777777" w:rsidR="00714DB3" w:rsidRDefault="00126DA3">
      <w:pPr>
        <w:widowControl/>
        <w:tabs>
          <w:tab w:val="left" w:pos="108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Čtvrtletní cena služby činí celkem bez DPH: </w:t>
      </w:r>
      <w:r>
        <w:rPr>
          <w:rFonts w:ascii="Arial" w:eastAsia="Arial" w:hAnsi="Arial" w:cs="Arial"/>
          <w:b/>
          <w:sz w:val="22"/>
          <w:szCs w:val="22"/>
        </w:rPr>
        <w:tab/>
        <w:t>15 360 Kč</w:t>
      </w:r>
    </w:p>
    <w:p w14:paraId="00000061" w14:textId="77777777" w:rsidR="00714DB3" w:rsidRDefault="00126DA3">
      <w:pPr>
        <w:widowControl/>
        <w:tabs>
          <w:tab w:val="left" w:pos="1080"/>
        </w:tabs>
        <w:spacing w:line="276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ab/>
      </w:r>
      <w:r>
        <w:rPr>
          <w:rFonts w:ascii="Arial" w:eastAsia="Arial" w:hAnsi="Arial" w:cs="Arial"/>
          <w:b/>
          <w:sz w:val="22"/>
          <w:szCs w:val="22"/>
        </w:rPr>
        <w:tab/>
        <w:t xml:space="preserve">Čtvrtletní cena služby činí celkem s DPH:     </w:t>
      </w:r>
      <w:r>
        <w:rPr>
          <w:rFonts w:ascii="Arial" w:eastAsia="Arial" w:hAnsi="Arial" w:cs="Arial"/>
          <w:b/>
          <w:sz w:val="22"/>
          <w:szCs w:val="22"/>
        </w:rPr>
        <w:tab/>
        <w:t>18</w:t>
      </w:r>
      <w:r>
        <w:t> </w:t>
      </w:r>
      <w:r>
        <w:rPr>
          <w:rFonts w:ascii="Arial" w:eastAsia="Arial" w:hAnsi="Arial" w:cs="Arial"/>
          <w:b/>
          <w:sz w:val="22"/>
          <w:szCs w:val="22"/>
        </w:rPr>
        <w:t>585 Kč</w:t>
      </w:r>
    </w:p>
    <w:p w14:paraId="00000062" w14:textId="77777777" w:rsidR="00714DB3" w:rsidRDefault="00714DB3">
      <w:pPr>
        <w:widowControl/>
        <w:spacing w:line="276" w:lineRule="auto"/>
        <w:ind w:left="720"/>
        <w:rPr>
          <w:rFonts w:ascii="Arial" w:eastAsia="Arial" w:hAnsi="Arial" w:cs="Arial"/>
          <w:b/>
          <w:sz w:val="22"/>
          <w:szCs w:val="22"/>
        </w:rPr>
      </w:pPr>
    </w:p>
    <w:p w14:paraId="00000063" w14:textId="77777777" w:rsidR="00714DB3" w:rsidRDefault="00714DB3">
      <w:pPr>
        <w:widowControl/>
        <w:spacing w:line="276" w:lineRule="auto"/>
        <w:ind w:left="720"/>
      </w:pPr>
    </w:p>
    <w:p w14:paraId="00000064" w14:textId="77777777" w:rsidR="00714DB3" w:rsidRDefault="00126DA3">
      <w:pPr>
        <w:widowControl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rFonts w:ascii="Calibri" w:eastAsia="Calibri" w:hAnsi="Calibri" w:cs="Calibri"/>
          <w:b/>
          <w:sz w:val="24"/>
          <w:szCs w:val="24"/>
          <w:u w:val="single"/>
        </w:rPr>
        <w:t>Zodpovědné osoby</w:t>
      </w:r>
    </w:p>
    <w:p w14:paraId="00000065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  <w:jc w:val="both"/>
      </w:pPr>
      <w:r>
        <w:rPr>
          <w:rFonts w:ascii="Calibri" w:eastAsia="Calibri" w:hAnsi="Calibri" w:cs="Calibri"/>
          <w:sz w:val="22"/>
          <w:szCs w:val="22"/>
        </w:rPr>
        <w:t>Smluvní strany se dohodly na těchto zodpovědných osobách určených pro rozhodující činnost dle této Smlouvy (dále jen „Zodpovědné osoby“):</w:t>
      </w:r>
    </w:p>
    <w:p w14:paraId="00000066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 Za Poskytovatele:</w:t>
      </w:r>
      <w:r>
        <w:rPr>
          <w:rFonts w:ascii="Calibri" w:eastAsia="Calibri" w:hAnsi="Calibri" w:cs="Calibri"/>
          <w:sz w:val="22"/>
          <w:szCs w:val="22"/>
        </w:rPr>
        <w:tab/>
        <w:t xml:space="preserve">        </w:t>
      </w:r>
    </w:p>
    <w:p w14:paraId="00000067" w14:textId="16A6F437" w:rsidR="00714DB3" w:rsidRDefault="00D24F3C">
      <w:pPr>
        <w:widowControl/>
        <w:tabs>
          <w:tab w:val="left" w:pos="1080"/>
        </w:tabs>
        <w:spacing w:line="276" w:lineRule="auto"/>
        <w:ind w:left="720" w:firstLine="7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xxxxxxxxxx</w:t>
      </w:r>
    </w:p>
    <w:p w14:paraId="00000068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Za Objednatele: </w:t>
      </w:r>
    </w:p>
    <w:p w14:paraId="00000069" w14:textId="254C1495" w:rsidR="00714DB3" w:rsidRDefault="00126DA3">
      <w:pPr>
        <w:widowControl/>
        <w:tabs>
          <w:tab w:val="left" w:pos="1080"/>
        </w:tabs>
        <w:spacing w:line="276" w:lineRule="auto"/>
        <w:ind w:left="1080"/>
      </w:pPr>
      <w:r>
        <w:rPr>
          <w:rFonts w:ascii="Calibri" w:eastAsia="Calibri" w:hAnsi="Calibri" w:cs="Calibri"/>
          <w:sz w:val="22"/>
          <w:szCs w:val="22"/>
        </w:rPr>
        <w:tab/>
      </w:r>
      <w:r w:rsidR="00D24F3C">
        <w:rPr>
          <w:rFonts w:ascii="Calibri" w:eastAsia="Calibri" w:hAnsi="Calibri" w:cs="Calibri"/>
          <w:sz w:val="22"/>
          <w:szCs w:val="22"/>
        </w:rPr>
        <w:t>xxxxxxxxxx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6A" w14:textId="77777777" w:rsidR="00714DB3" w:rsidRDefault="00126DA3">
      <w:pPr>
        <w:widowControl/>
        <w:numPr>
          <w:ilvl w:val="0"/>
          <w:numId w:val="2"/>
        </w:numPr>
        <w:tabs>
          <w:tab w:val="left" w:pos="360"/>
        </w:tabs>
        <w:spacing w:line="276" w:lineRule="auto"/>
        <w:jc w:val="both"/>
      </w:pPr>
      <w:r>
        <w:rPr>
          <w:rFonts w:ascii="Calibri" w:eastAsia="Calibri" w:hAnsi="Calibri" w:cs="Calibri"/>
          <w:b/>
          <w:sz w:val="22"/>
          <w:szCs w:val="22"/>
          <w:u w:val="single"/>
        </w:rPr>
        <w:t>Platnost této Přílohy č. 1 Dodatku č. 1</w:t>
      </w:r>
    </w:p>
    <w:p w14:paraId="0000006B" w14:textId="77777777" w:rsidR="00714DB3" w:rsidRDefault="00126DA3">
      <w:pPr>
        <w:widowControl/>
        <w:numPr>
          <w:ilvl w:val="1"/>
          <w:numId w:val="2"/>
        </w:numPr>
        <w:tabs>
          <w:tab w:val="left" w:pos="1080"/>
        </w:tabs>
        <w:spacing w:line="276" w:lineRule="auto"/>
      </w:pPr>
      <w:r>
        <w:rPr>
          <w:rFonts w:ascii="Calibri" w:eastAsia="Calibri" w:hAnsi="Calibri" w:cs="Calibri"/>
          <w:sz w:val="22"/>
          <w:szCs w:val="22"/>
        </w:rPr>
        <w:t xml:space="preserve"> Tato specifikace platí a je účinná ode dne účinnosti Dodatku č. 1 jako jeho Příloha č. 1, obsahující novou Specifikaci služby, nahrazující dosavadní Specifikaci služby.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0000006C" w14:textId="77777777" w:rsidR="00714DB3" w:rsidRDefault="00714DB3">
      <w:pPr>
        <w:widowControl/>
        <w:tabs>
          <w:tab w:val="left" w:pos="1080"/>
        </w:tabs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0000006D" w14:textId="77777777" w:rsidR="00714DB3" w:rsidRDefault="00714DB3">
      <w:pPr>
        <w:widowControl/>
        <w:tabs>
          <w:tab w:val="left" w:pos="1080"/>
        </w:tabs>
        <w:spacing w:line="276" w:lineRule="auto"/>
        <w:ind w:left="720"/>
        <w:rPr>
          <w:rFonts w:ascii="Calibri" w:eastAsia="Calibri" w:hAnsi="Calibri" w:cs="Calibri"/>
          <w:sz w:val="22"/>
          <w:szCs w:val="22"/>
        </w:rPr>
      </w:pPr>
    </w:p>
    <w:p w14:paraId="0000006E" w14:textId="77777777" w:rsidR="00714DB3" w:rsidRDefault="00126DA3">
      <w:pPr>
        <w:widowControl/>
        <w:spacing w:line="276" w:lineRule="auto"/>
        <w:ind w:left="283" w:firstLine="437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 xml:space="preserve">V Brně dne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  <w:highlight w:val="white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V Praze</w:t>
      </w:r>
      <w:r>
        <w:rPr>
          <w:rFonts w:ascii="Calibri" w:eastAsia="Calibri" w:hAnsi="Calibri" w:cs="Calibri"/>
          <w:sz w:val="22"/>
          <w:szCs w:val="22"/>
        </w:rPr>
        <w:tab/>
        <w:t xml:space="preserve"> dne  </w:t>
      </w:r>
    </w:p>
    <w:p w14:paraId="0000006F" w14:textId="77777777" w:rsidR="00714DB3" w:rsidRDefault="00714DB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70" w14:textId="77777777" w:rsidR="00714DB3" w:rsidRDefault="00714DB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71" w14:textId="77777777" w:rsidR="00714DB3" w:rsidRDefault="00714DB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72" w14:textId="77777777" w:rsidR="00714DB3" w:rsidRDefault="00126DA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 xml:space="preserve">Za Poskytovatele: 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Za Objednatele:</w:t>
      </w:r>
    </w:p>
    <w:p w14:paraId="00000073" w14:textId="77777777" w:rsidR="00714DB3" w:rsidRDefault="00714DB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74" w14:textId="77777777" w:rsidR="00714DB3" w:rsidRDefault="00714DB3">
      <w:pPr>
        <w:widowControl/>
        <w:spacing w:line="276" w:lineRule="auto"/>
        <w:ind w:firstLine="283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75" w14:textId="77777777" w:rsidR="00714DB3" w:rsidRDefault="00714DB3">
      <w:pPr>
        <w:widowControl/>
        <w:spacing w:line="276" w:lineRule="auto"/>
        <w:jc w:val="both"/>
        <w:rPr>
          <w:rFonts w:ascii="Arial" w:eastAsia="Arial" w:hAnsi="Arial" w:cs="Arial"/>
          <w:color w:val="00000A"/>
          <w:sz w:val="22"/>
          <w:szCs w:val="22"/>
        </w:rPr>
      </w:pPr>
    </w:p>
    <w:p w14:paraId="00000076" w14:textId="77777777" w:rsidR="00714DB3" w:rsidRDefault="00126DA3">
      <w:pPr>
        <w:widowControl/>
        <w:spacing w:line="276" w:lineRule="auto"/>
        <w:ind w:left="283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………………………………………...</w:t>
      </w:r>
    </w:p>
    <w:p w14:paraId="00000077" w14:textId="77777777" w:rsidR="00714DB3" w:rsidRDefault="00714DB3">
      <w:pPr>
        <w:widowControl/>
        <w:spacing w:line="276" w:lineRule="auto"/>
        <w:ind w:left="283"/>
        <w:jc w:val="both"/>
        <w:rPr>
          <w:rFonts w:ascii="Calibri" w:eastAsia="Calibri" w:hAnsi="Calibri" w:cs="Calibri"/>
        </w:rPr>
      </w:pPr>
    </w:p>
    <w:sectPr w:rsidR="00714DB3">
      <w:footerReference w:type="default" r:id="rId9"/>
      <w:pgSz w:w="11906" w:h="16838"/>
      <w:pgMar w:top="1417" w:right="1417" w:bottom="1417" w:left="1417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519332" w14:textId="77777777" w:rsidR="008875A1" w:rsidRDefault="00126DA3">
      <w:r>
        <w:separator/>
      </w:r>
    </w:p>
  </w:endnote>
  <w:endnote w:type="continuationSeparator" w:id="0">
    <w:p w14:paraId="209FD603" w14:textId="77777777" w:rsidR="008875A1" w:rsidRDefault="00126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78" w14:textId="7DA5B73F" w:rsidR="00714DB3" w:rsidRDefault="00126DA3">
    <w:pPr>
      <w:widowControl/>
      <w:spacing w:after="708" w:line="276" w:lineRule="auto"/>
      <w:jc w:val="center"/>
      <w:rPr>
        <w:rFonts w:ascii="Arial" w:eastAsia="Arial" w:hAnsi="Arial" w:cs="Arial"/>
        <w:color w:val="00000A"/>
        <w:sz w:val="22"/>
        <w:szCs w:val="22"/>
      </w:rPr>
    </w:pPr>
    <w:r>
      <w:rPr>
        <w:rFonts w:ascii="Calibri" w:eastAsia="Calibri" w:hAnsi="Calibri" w:cs="Calibri"/>
      </w:rPr>
      <w:t xml:space="preserve">Stránka </w:t>
    </w: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PAGE</w:instrText>
    </w:r>
    <w:r>
      <w:rPr>
        <w:rFonts w:ascii="Arial" w:eastAsia="Arial" w:hAnsi="Arial" w:cs="Arial"/>
        <w:color w:val="00000A"/>
      </w:rPr>
      <w:fldChar w:fldCharType="separate"/>
    </w:r>
    <w:r w:rsidR="00885596">
      <w:rPr>
        <w:rFonts w:ascii="Arial" w:eastAsia="Arial" w:hAnsi="Arial" w:cs="Arial"/>
        <w:noProof/>
        <w:color w:val="00000A"/>
      </w:rPr>
      <w:t>4</w:t>
    </w:r>
    <w:r>
      <w:rPr>
        <w:rFonts w:ascii="Arial" w:eastAsia="Arial" w:hAnsi="Arial" w:cs="Arial"/>
        <w:color w:val="00000A"/>
      </w:rPr>
      <w:fldChar w:fldCharType="end"/>
    </w:r>
    <w:r>
      <w:rPr>
        <w:rFonts w:ascii="Calibri" w:eastAsia="Calibri" w:hAnsi="Calibri" w:cs="Calibri"/>
      </w:rPr>
      <w:t xml:space="preserve"> z </w:t>
    </w:r>
    <w:r>
      <w:rPr>
        <w:rFonts w:ascii="Arial" w:eastAsia="Arial" w:hAnsi="Arial" w:cs="Arial"/>
        <w:color w:val="00000A"/>
      </w:rPr>
      <w:fldChar w:fldCharType="begin"/>
    </w:r>
    <w:r>
      <w:rPr>
        <w:rFonts w:ascii="Arial" w:eastAsia="Arial" w:hAnsi="Arial" w:cs="Arial"/>
        <w:color w:val="00000A"/>
      </w:rPr>
      <w:instrText>NUMPAGES</w:instrText>
    </w:r>
    <w:r>
      <w:rPr>
        <w:rFonts w:ascii="Arial" w:eastAsia="Arial" w:hAnsi="Arial" w:cs="Arial"/>
        <w:color w:val="00000A"/>
      </w:rPr>
      <w:fldChar w:fldCharType="separate"/>
    </w:r>
    <w:r w:rsidR="00885596">
      <w:rPr>
        <w:rFonts w:ascii="Arial" w:eastAsia="Arial" w:hAnsi="Arial" w:cs="Arial"/>
        <w:noProof/>
        <w:color w:val="00000A"/>
      </w:rPr>
      <w:t>4</w:t>
    </w:r>
    <w:r>
      <w:rPr>
        <w:rFonts w:ascii="Arial" w:eastAsia="Arial" w:hAnsi="Arial" w:cs="Arial"/>
        <w:color w:val="00000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3BE81" w14:textId="77777777" w:rsidR="008875A1" w:rsidRDefault="00126DA3">
      <w:r>
        <w:separator/>
      </w:r>
    </w:p>
  </w:footnote>
  <w:footnote w:type="continuationSeparator" w:id="0">
    <w:p w14:paraId="3623A959" w14:textId="77777777" w:rsidR="008875A1" w:rsidRDefault="00126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04A66"/>
    <w:multiLevelType w:val="multilevel"/>
    <w:tmpl w:val="D1B20EE4"/>
    <w:lvl w:ilvl="0">
      <w:start w:val="1"/>
      <w:numFmt w:val="upperRoman"/>
      <w:lvlText w:val="%1."/>
      <w:lvlJc w:val="left"/>
      <w:pPr>
        <w:ind w:left="360" w:firstLine="0"/>
      </w:pPr>
      <w:rPr>
        <w:rFonts w:ascii="Calibri" w:eastAsia="Calibri" w:hAnsi="Calibri" w:cs="Calibri"/>
        <w:b/>
        <w:sz w:val="26"/>
        <w:szCs w:val="26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2064" w:hanging="84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3">
      <w:start w:val="1"/>
      <w:numFmt w:val="lowerLetter"/>
      <w:lvlText w:val="%2.%3.%4)"/>
      <w:lvlJc w:val="left"/>
      <w:pPr>
        <w:ind w:left="2520" w:firstLine="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40" w:firstLine="0"/>
      </w:pPr>
      <w:rPr>
        <w:rFonts w:ascii="Calibri" w:eastAsia="Calibri" w:hAnsi="Calibri" w:cs="Calibri"/>
        <w:b/>
        <w:sz w:val="22"/>
        <w:szCs w:val="22"/>
        <w:vertAlign w:val="baseline"/>
      </w:rPr>
    </w:lvl>
    <w:lvl w:ilvl="5">
      <w:start w:val="1"/>
      <w:numFmt w:val="decimal"/>
      <w:lvlText w:val="%1.%2.%3.%4.%5.%6."/>
      <w:lvlJc w:val="left"/>
      <w:pPr>
        <w:ind w:left="4140" w:firstLine="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4680" w:firstLine="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400" w:firstLine="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300" w:firstLine="0"/>
      </w:pPr>
      <w:rPr>
        <w:vertAlign w:val="baseline"/>
      </w:rPr>
    </w:lvl>
  </w:abstractNum>
  <w:abstractNum w:abstractNumId="1" w15:restartNumberingAfterBreak="0">
    <w:nsid w:val="445E0FF1"/>
    <w:multiLevelType w:val="multilevel"/>
    <w:tmpl w:val="9AA078F0"/>
    <w:lvl w:ilvl="0">
      <w:start w:val="1"/>
      <w:numFmt w:val="upperLetter"/>
      <w:lvlText w:val="%1."/>
      <w:lvlJc w:val="left"/>
      <w:pPr>
        <w:ind w:left="3621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b/>
        <w: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Calibri" w:eastAsia="Calibri" w:hAnsi="Calibri" w:cs="Calibri"/>
        <w:b/>
        <w:strike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●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3600" w:hanging="360"/>
      </w:pPr>
      <w:rPr>
        <w:vertAlign w:val="baseline"/>
      </w:rPr>
    </w:lvl>
  </w:abstractNum>
  <w:abstractNum w:abstractNumId="2" w15:restartNumberingAfterBreak="0">
    <w:nsid w:val="55F279A9"/>
    <w:multiLevelType w:val="multilevel"/>
    <w:tmpl w:val="4CBE7378"/>
    <w:lvl w:ilvl="0">
      <w:start w:val="1"/>
      <w:numFmt w:val="upperLetter"/>
      <w:lvlText w:val="%1."/>
      <w:lvlJc w:val="left"/>
      <w:pPr>
        <w:ind w:left="3621" w:hanging="360"/>
      </w:pPr>
      <w:rPr>
        <w:b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/>
        <w:b/>
        <w:strike w:val="0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ascii="Calibri" w:eastAsia="Calibri" w:hAnsi="Calibri" w:cs="Calibri"/>
        <w:b/>
        <w:strike w:val="0"/>
        <w:sz w:val="22"/>
        <w:szCs w:val="22"/>
        <w:vertAlign w:val="baseline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Arial" w:eastAsia="Arial" w:hAnsi="Arial" w:cs="Arial"/>
        <w:vertAlign w:val="baseline"/>
      </w:rPr>
    </w:lvl>
    <w:lvl w:ilvl="4">
      <w:start w:val="1"/>
      <w:numFmt w:val="decimal"/>
      <w:lvlText w:val="%1.%2.%3.●.%5.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%1.%2.%3.●.%5.%6.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%1.%2.%3.●.%5.%6.%7.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%1.%2.%3.●.%5.%6.%7.%8.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%1.%2.%3.●.%5.%6.%7.%8.%9."/>
      <w:lvlJc w:val="left"/>
      <w:pPr>
        <w:ind w:left="3600" w:hanging="3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B3"/>
    <w:rsid w:val="00126DA3"/>
    <w:rsid w:val="001D0590"/>
    <w:rsid w:val="00714DB3"/>
    <w:rsid w:val="00885596"/>
    <w:rsid w:val="008875A1"/>
    <w:rsid w:val="00991D17"/>
    <w:rsid w:val="00D24F3C"/>
    <w:rsid w:val="00DC7D23"/>
    <w:rsid w:val="00F2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75856"/>
  <w15:docId w15:val="{3FF7A11B-2980-4448-B401-234DE657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A21F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90974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623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zv.tritius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WRcSmV7JwsBl/jlsrDVPaJDsvQ==">AMUW2mXMSGIhp6tjffpG9/sPRsAw1++ueBVUm1hyZjan0sIoI9M+5OfUo27KTKRc9yMft8NKdSzG00X/UbOkJ2vKw46PR64OcOkTrtQfgC/TUFozmQl7Br1xlmxI5fuljTq82YLtGmha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DOLEJŠOVÁ Kateřina</dc:creator>
  <cp:lastModifiedBy>Prázná Karolína</cp:lastModifiedBy>
  <cp:revision>2</cp:revision>
  <dcterms:created xsi:type="dcterms:W3CDTF">2022-12-05T12:54:00Z</dcterms:created>
  <dcterms:modified xsi:type="dcterms:W3CDTF">2022-12-05T12:54:00Z</dcterms:modified>
</cp:coreProperties>
</file>