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783EF3">
        <w:t>40933</w:t>
      </w:r>
      <w:r>
        <w:t>/20</w:t>
      </w:r>
      <w:r w:rsidR="006A10B6">
        <w:t>2</w:t>
      </w:r>
      <w:r w:rsidR="001D1356">
        <w:t>2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783EF3">
              <w:rPr>
                <w:rStyle w:val="CharStyle6"/>
                <w:b/>
                <w:color w:val="000000"/>
              </w:rPr>
              <w:t>ATS holding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BE7706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</w:t>
            </w:r>
            <w:proofErr w:type="gramStart"/>
            <w:r w:rsidRPr="00A47868">
              <w:rPr>
                <w:rStyle w:val="CharStyle10"/>
                <w:color w:val="000000"/>
              </w:rPr>
              <w:t xml:space="preserve">Země: </w:t>
            </w:r>
            <w:r w:rsidR="009C3DB7">
              <w:rPr>
                <w:rStyle w:val="CharStyle10"/>
                <w:color w:val="000000"/>
              </w:rPr>
              <w:t>, ČR</w:t>
            </w:r>
            <w:r w:rsidR="008E4E01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8E4E01" w:rsidRPr="00A47868">
              <w:rPr>
                <w:rStyle w:val="CharStyle10"/>
                <w:color w:val="000000"/>
              </w:rPr>
            </w:r>
            <w:r w:rsidR="008E4E01" w:rsidRPr="00A47868">
              <w:rPr>
                <w:rStyle w:val="CharStyle10"/>
                <w:color w:val="000000"/>
              </w:rPr>
              <w:fldChar w:fldCharType="separate"/>
            </w:r>
            <w:proofErr w:type="gramEnd"/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8E4E01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783EF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783EF3">
              <w:rPr>
                <w:rStyle w:val="CharStyle10"/>
                <w:color w:val="000000"/>
              </w:rPr>
              <w:t>25298984</w:t>
            </w:r>
            <w:r w:rsidR="006C6521">
              <w:rPr>
                <w:rStyle w:val="CharStyle10"/>
                <w:color w:val="000000"/>
              </w:rPr>
              <w:t>, IČ:</w:t>
            </w:r>
            <w:r w:rsidR="00783EF3">
              <w:rPr>
                <w:rStyle w:val="CharStyle10"/>
                <w:color w:val="000000"/>
              </w:rPr>
              <w:t>25298984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BE7706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BE7706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783EF3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783EF3">
              <w:t>obchod</w:t>
            </w:r>
            <w:r w:rsidR="006C6521">
              <w:t>@</w:t>
            </w:r>
            <w:r w:rsidR="00783EF3">
              <w:t>atsholding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554589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554589">
              <w:rPr>
                <w:rStyle w:val="CharStyle10"/>
                <w:color w:val="000000"/>
              </w:rPr>
              <w:t>02</w:t>
            </w:r>
            <w:r w:rsidR="006C6521">
              <w:rPr>
                <w:rStyle w:val="CharStyle10"/>
                <w:color w:val="000000"/>
              </w:rPr>
              <w:t>.1</w:t>
            </w:r>
            <w:r w:rsidR="00554589">
              <w:rPr>
                <w:rStyle w:val="CharStyle10"/>
                <w:color w:val="000000"/>
              </w:rPr>
              <w:t>2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D1356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9C3DB7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D135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D51A5C">
              <w:rPr>
                <w:rStyle w:val="CharStyle10"/>
                <w:color w:val="000000"/>
              </w:rPr>
              <w:t>1</w:t>
            </w:r>
            <w:r w:rsidR="006E686D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55458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554589">
              <w:rPr>
                <w:rStyle w:val="CharStyle10"/>
                <w:color w:val="000000"/>
              </w:rPr>
              <w:t>40933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554589" w:rsidRDefault="007A390A" w:rsidP="00554589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3C41A5" w:rsidRDefault="003C41A5" w:rsidP="003C41A5">
      <w:pPr>
        <w:rPr>
          <w:rFonts w:ascii="Arial" w:hAnsi="Arial" w:cs="Arial"/>
          <w:b/>
          <w:color w:val="auto"/>
          <w:sz w:val="22"/>
          <w:szCs w:val="22"/>
        </w:rPr>
      </w:pPr>
    </w:p>
    <w:p w:rsidR="003C41A5" w:rsidRDefault="003C41A5" w:rsidP="003C41A5">
      <w:pPr>
        <w:rPr>
          <w:rFonts w:ascii="Arial" w:hAnsi="Arial" w:cs="Arial"/>
          <w:b/>
          <w:color w:val="auto"/>
          <w:sz w:val="22"/>
          <w:szCs w:val="22"/>
        </w:rPr>
      </w:pPr>
    </w:p>
    <w:p w:rsidR="003C41A5" w:rsidRPr="003C41A5" w:rsidRDefault="003C41A5" w:rsidP="003C41A5">
      <w:pPr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119"/>
        <w:gridCol w:w="2120"/>
        <w:gridCol w:w="2120"/>
        <w:gridCol w:w="2120"/>
      </w:tblGrid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Předmět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Množství ks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Jednotková cena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Cena celkem</w:t>
            </w:r>
          </w:p>
        </w:tc>
      </w:tr>
      <w:tr w:rsidR="000D6160" w:rsidTr="00554589">
        <w:tc>
          <w:tcPr>
            <w:tcW w:w="2119" w:type="dxa"/>
          </w:tcPr>
          <w:p w:rsidR="000D6160" w:rsidRP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Stůl psací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3 900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7 800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Stůl psací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3 250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6 500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Deska rohová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1 320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2 640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Kontejner 4zás.pojízdný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6 850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27 400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Skříň vysoká 2dv.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6 150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30 750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Skříň vysoká sklo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8 250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8 250</w:t>
            </w:r>
          </w:p>
        </w:tc>
      </w:tr>
      <w:tr w:rsidR="000D6160" w:rsidTr="00554589">
        <w:tc>
          <w:tcPr>
            <w:tcW w:w="2119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ATYP stůl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3 650</w:t>
            </w:r>
          </w:p>
        </w:tc>
        <w:tc>
          <w:tcPr>
            <w:tcW w:w="2120" w:type="dxa"/>
          </w:tcPr>
          <w:p w:rsidR="000D6160" w:rsidRDefault="000D616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3 650</w:t>
            </w:r>
          </w:p>
        </w:tc>
      </w:tr>
      <w:tr w:rsidR="00E87900" w:rsidTr="00554589">
        <w:tc>
          <w:tcPr>
            <w:tcW w:w="2119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Zámek</w:t>
            </w: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350</w:t>
            </w: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2 100</w:t>
            </w:r>
          </w:p>
        </w:tc>
      </w:tr>
      <w:tr w:rsidR="00E87900" w:rsidTr="00554589">
        <w:tc>
          <w:tcPr>
            <w:tcW w:w="2119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Montáž</w:t>
            </w: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8 909</w:t>
            </w:r>
          </w:p>
        </w:tc>
        <w:tc>
          <w:tcPr>
            <w:tcW w:w="2120" w:type="dxa"/>
          </w:tcPr>
          <w:p w:rsidR="00E87900" w:rsidRDefault="00E87900" w:rsidP="0055458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8 909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0D6160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97 999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0D6160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0D6160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118 578.79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3C41A5" w:rsidRDefault="003C41A5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lastRenderedPageBreak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0D6160">
        <w:rPr>
          <w:rFonts w:ascii="Arial" w:hAnsi="Arial" w:cs="Arial"/>
          <w:color w:val="auto"/>
          <w:sz w:val="16"/>
          <w:szCs w:val="16"/>
        </w:rPr>
        <w:t>02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0D6160">
        <w:rPr>
          <w:rFonts w:ascii="Arial" w:hAnsi="Arial" w:cs="Arial"/>
          <w:color w:val="auto"/>
          <w:sz w:val="16"/>
          <w:szCs w:val="16"/>
        </w:rPr>
        <w:t>2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1D1356">
        <w:rPr>
          <w:rFonts w:ascii="Arial" w:hAnsi="Arial" w:cs="Arial"/>
          <w:color w:val="auto"/>
          <w:sz w:val="16"/>
          <w:szCs w:val="16"/>
        </w:rPr>
        <w:t>2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3C41A5" w:rsidRDefault="003C41A5" w:rsidP="0036671E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3C41A5" w:rsidRDefault="003C41A5" w:rsidP="0036671E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3C41A5" w:rsidRDefault="003C41A5" w:rsidP="0036671E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3C41A5" w:rsidRDefault="003C41A5" w:rsidP="0036671E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3C41A5" w:rsidRPr="0036671E" w:rsidRDefault="003C41A5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3C41A5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BE770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3C41A5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8E4E0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8E4E0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8E4E0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8E4E0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Pr="003C41A5" w:rsidRDefault="007A390A" w:rsidP="00BE770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C41A5"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 w:rsidRPr="003C41A5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BE7706">
              <w:rPr>
                <w:rFonts w:ascii="Arial" w:hAnsi="Arial" w:cs="Arial"/>
                <w:color w:val="auto"/>
                <w:sz w:val="16"/>
                <w:szCs w:val="16"/>
              </w:rPr>
              <w:t>d</w:t>
            </w:r>
            <w:r w:rsidRPr="003C41A5">
              <w:rPr>
                <w:rFonts w:ascii="Arial" w:hAnsi="Arial" w:cs="Arial"/>
                <w:color w:val="auto"/>
                <w:sz w:val="16"/>
                <w:szCs w:val="16"/>
              </w:rPr>
              <w:t xml:space="preserve">ne </w:t>
            </w:r>
            <w:r w:rsidR="003C41A5">
              <w:rPr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  <w:r w:rsidR="008E4E01" w:rsidRPr="003C41A5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C41A5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8E4E01" w:rsidRPr="003C41A5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8E4E01" w:rsidRPr="003C41A5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3C41A5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3C41A5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3C41A5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3C41A5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3C41A5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8E4E01" w:rsidRPr="003C41A5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Pr="003C41A5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Pr="003C41A5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C41A5"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Pr="003C41A5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F7" w:rsidRDefault="008E64F7" w:rsidP="007A390A">
      <w:r>
        <w:separator/>
      </w:r>
    </w:p>
  </w:endnote>
  <w:endnote w:type="continuationSeparator" w:id="0">
    <w:p w:rsidR="008E64F7" w:rsidRDefault="008E64F7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8E4E01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8E4E01" w:rsidRPr="00857B4F">
      <w:rPr>
        <w:rFonts w:ascii="Arial" w:hAnsi="Arial" w:cs="Arial"/>
        <w:sz w:val="18"/>
        <w:szCs w:val="18"/>
      </w:rPr>
      <w:fldChar w:fldCharType="separate"/>
    </w:r>
    <w:r w:rsidR="00BE7706">
      <w:rPr>
        <w:rFonts w:ascii="Arial" w:hAnsi="Arial" w:cs="Arial"/>
        <w:noProof/>
        <w:sz w:val="18"/>
        <w:szCs w:val="18"/>
      </w:rPr>
      <w:t>1</w:t>
    </w:r>
    <w:r w:rsidR="008E4E01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8E64F7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F7" w:rsidRDefault="008E64F7" w:rsidP="007A390A">
      <w:r>
        <w:separator/>
      </w:r>
    </w:p>
  </w:footnote>
  <w:footnote w:type="continuationSeparator" w:id="0">
    <w:p w:rsidR="008E64F7" w:rsidRDefault="008E64F7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8E64F7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8E64F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0D6160"/>
    <w:rsid w:val="0014710B"/>
    <w:rsid w:val="00160269"/>
    <w:rsid w:val="00190C8E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3C41A5"/>
    <w:rsid w:val="00416A0B"/>
    <w:rsid w:val="004511B9"/>
    <w:rsid w:val="00451738"/>
    <w:rsid w:val="00461FF7"/>
    <w:rsid w:val="00465CE8"/>
    <w:rsid w:val="0047142F"/>
    <w:rsid w:val="004A5667"/>
    <w:rsid w:val="004B22D1"/>
    <w:rsid w:val="004D631E"/>
    <w:rsid w:val="00501049"/>
    <w:rsid w:val="005407B2"/>
    <w:rsid w:val="00554589"/>
    <w:rsid w:val="00584003"/>
    <w:rsid w:val="00586A13"/>
    <w:rsid w:val="006177DF"/>
    <w:rsid w:val="00621983"/>
    <w:rsid w:val="00631FF7"/>
    <w:rsid w:val="006550A7"/>
    <w:rsid w:val="0067545C"/>
    <w:rsid w:val="00676DC2"/>
    <w:rsid w:val="00684E0E"/>
    <w:rsid w:val="00693DF7"/>
    <w:rsid w:val="006A10B6"/>
    <w:rsid w:val="006C6521"/>
    <w:rsid w:val="006E686D"/>
    <w:rsid w:val="006F5D5E"/>
    <w:rsid w:val="00701EF3"/>
    <w:rsid w:val="00760C55"/>
    <w:rsid w:val="00783EF3"/>
    <w:rsid w:val="0078428E"/>
    <w:rsid w:val="007A390A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4E01"/>
    <w:rsid w:val="008E64F7"/>
    <w:rsid w:val="008E7971"/>
    <w:rsid w:val="00921D00"/>
    <w:rsid w:val="009466C0"/>
    <w:rsid w:val="009B47AC"/>
    <w:rsid w:val="009B67AD"/>
    <w:rsid w:val="009C1BAB"/>
    <w:rsid w:val="009C3DB7"/>
    <w:rsid w:val="00A052EC"/>
    <w:rsid w:val="00A07FA0"/>
    <w:rsid w:val="00A20157"/>
    <w:rsid w:val="00A54F00"/>
    <w:rsid w:val="00A95302"/>
    <w:rsid w:val="00AF67B0"/>
    <w:rsid w:val="00B104ED"/>
    <w:rsid w:val="00BE5080"/>
    <w:rsid w:val="00BE7706"/>
    <w:rsid w:val="00C52BA0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87900"/>
    <w:rsid w:val="00E96FCE"/>
    <w:rsid w:val="00EB1FEA"/>
    <w:rsid w:val="00EC32CB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76F5-4C37-40BF-872D-C9548409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50</cp:revision>
  <cp:lastPrinted>2017-10-18T10:54:00Z</cp:lastPrinted>
  <dcterms:created xsi:type="dcterms:W3CDTF">2016-07-19T11:11:00Z</dcterms:created>
  <dcterms:modified xsi:type="dcterms:W3CDTF">2022-12-05T07:56:00Z</dcterms:modified>
</cp:coreProperties>
</file>