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350" w:h="326" w:wrap="none" w:hAnchor="page" w:x="4509" w:y="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</w:rPr>
        <w:t>RÁMCOVÁ KUPNÍ SMLOUVA</w:t>
      </w:r>
      <w:bookmarkEnd w:id="0"/>
    </w:p>
    <w:p>
      <w:pPr>
        <w:pStyle w:val="Style4"/>
        <w:keepNext/>
        <w:keepLines/>
        <w:framePr w:w="2438" w:h="1205" w:wrap="none" w:hAnchor="page" w:x="895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" w:name="bookmark2"/>
      <w:r>
        <w:rPr>
          <w:rStyle w:val="CharStyle5"/>
        </w:rPr>
        <w:t>■■■lil</w:t>
      </w:r>
      <w:bookmarkEnd w:id="2"/>
    </w:p>
    <w:p>
      <w:pPr>
        <w:pStyle w:val="Style6"/>
        <w:keepNext w:val="0"/>
        <w:keepLines w:val="0"/>
        <w:framePr w:w="2438" w:h="1205" w:wrap="none" w:hAnchor="page" w:x="8958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7"/>
        </w:rPr>
        <w:t>2022008600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46" w:right="504" w:bottom="880" w:left="132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4" w:name="bookmark4"/>
      <w:r>
        <w:rPr>
          <w:rStyle w:val="CharStyle18"/>
        </w:rPr>
        <w:t>uzavřená v souladu s ustanovením § 2079 a násl. zákona č. 89/2012 Sb., občanský zákoník, mezi níže uvedenými smluvními stranami</w:t>
      </w:r>
      <w:bookmarkEnd w:id="4"/>
    </w:p>
    <w:tbl>
      <w:tblPr>
        <w:tblOverlap w:val="never"/>
        <w:jc w:val="left"/>
        <w:tblLayout w:type="fixed"/>
      </w:tblPr>
      <w:tblGrid>
        <w:gridCol w:w="3096"/>
        <w:gridCol w:w="6000"/>
      </w:tblGrid>
      <w:tr>
        <w:trPr>
          <w:trHeight w:val="4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440" w:right="0" w:firstLine="20"/>
              <w:jc w:val="left"/>
            </w:pPr>
            <w:r>
              <w:rPr>
                <w:rStyle w:val="CharStyle22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MUDr. Hana Albrechtová, ředitelka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  <w:spacing w:val="4"/>
                <w:shd w:val="clear" w:color="auto" w:fill="000000"/>
              </w:rPr>
              <w:t>..........</w:t>
            </w:r>
            <w:r>
              <w:rPr>
                <w:rStyle w:val="CharStyle22"/>
                <w:shd w:val="clear" w:color="auto" w:fill="000000"/>
              </w:rPr>
              <w:t>​.</w:t>
            </w:r>
            <w:r>
              <w:rPr>
                <w:rStyle w:val="CharStyle22"/>
                <w:spacing w:val="1"/>
                <w:shd w:val="clear" w:color="auto" w:fill="000000"/>
              </w:rPr>
              <w:t>........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  <w:u w:val="single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CharStyle22"/>
                <w:spacing w:val="1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8"/>
                <w:shd w:val="clear" w:color="auto" w:fill="000000"/>
              </w:rPr>
              <w:t>..</w:t>
            </w:r>
            <w:r>
              <w:rPr>
                <w:rStyle w:val="CharStyle22"/>
                <w:spacing w:val="9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8"/>
                <w:shd w:val="clear" w:color="auto" w:fill="000000"/>
              </w:rPr>
              <w:t>.</w:t>
            </w:r>
            <w:r>
              <w:rPr>
                <w:rStyle w:val="CharStyle22"/>
                <w:spacing w:val="9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6"/>
                <w:shd w:val="clear" w:color="auto" w:fill="000000"/>
              </w:rPr>
              <w:t>....</w:t>
            </w:r>
            <w:r>
              <w:rPr>
                <w:rStyle w:val="CharStyle22"/>
                <w:spacing w:val="7"/>
                <w:shd w:val="clear" w:color="auto" w:fill="000000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7"/>
                <w:shd w:val="clear" w:color="auto" w:fill="000000"/>
              </w:rPr>
              <w:t>...</w:t>
            </w:r>
            <w:r>
              <w:rPr>
                <w:rStyle w:val="CharStyle22"/>
                <w:spacing w:val="8"/>
                <w:shd w:val="clear" w:color="auto" w:fill="000000"/>
              </w:rPr>
              <w:t>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6"/>
                <w:shd w:val="clear" w:color="auto" w:fill="000000"/>
              </w:rPr>
              <w:t>...</w:t>
            </w:r>
            <w:r>
              <w:rPr>
                <w:rStyle w:val="CharStyle22"/>
                <w:spacing w:val="7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8"/>
                <w:shd w:val="clear" w:color="auto" w:fill="000000"/>
              </w:rPr>
              <w:t>.</w:t>
            </w:r>
            <w:r>
              <w:rPr>
                <w:rStyle w:val="CharStyle22"/>
                <w:spacing w:val="9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8"/>
                <w:shd w:val="clear" w:color="auto" w:fill="000000"/>
              </w:rPr>
              <w:t>.</w:t>
            </w:r>
            <w:r>
              <w:rPr>
                <w:rStyle w:val="CharStyle22"/>
                <w:spacing w:val="9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10"/>
                <w:shd w:val="clear" w:color="auto" w:fill="000000"/>
              </w:rPr>
              <w:t>..</w:t>
            </w:r>
            <w:r>
              <w:rPr>
                <w:rStyle w:val="CharStyle22"/>
                <w:spacing w:val="11"/>
                <w:shd w:val="clear" w:color="auto" w:fill="000000"/>
              </w:rPr>
              <w:t>...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00346292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CZ00346292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Krajský soud v Brně sp. zn. Pr 1245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color w:val="0F142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MONETA Money Bank, a.s., č. ú. 117203514/0600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20"/>
        </w:rPr>
        <w:t>(dále jen „kupující“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096"/>
        <w:gridCol w:w="5995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2"/>
                <w:i/>
                <w:iCs/>
                <w:sz w:val="13"/>
                <w:szCs w:val="13"/>
              </w:rPr>
              <w:t>a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  <w:b/>
                <w:bCs/>
              </w:rPr>
              <w:t>BATIST Medical a.s.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Nerudova 309, 549 41 Červený Kostelec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Ing. Tomáš Mertlík, MBA, člen správní rady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22"/>
                <w:spacing w:val="3"/>
                <w:shd w:val="clear" w:color="auto" w:fill="000000"/>
              </w:rPr>
              <w:t>......</w:t>
            </w:r>
            <w:r>
              <w:rPr>
                <w:rStyle w:val="CharStyle22"/>
                <w:spacing w:val="4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</w:t>
            </w:r>
            <w:r>
              <w:rPr>
                <w:rStyle w:val="CharStyle22"/>
                <w:spacing w:val="1"/>
                <w:shd w:val="clear" w:color="auto" w:fill="000000"/>
              </w:rPr>
              <w:t>.......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......</w:t>
            </w:r>
            <w:r>
              <w:rPr>
                <w:rStyle w:val="CharStyle22"/>
                <w:spacing w:val="4"/>
                <w:shd w:val="clear" w:color="auto" w:fill="000000"/>
              </w:rPr>
              <w:t>........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1"/>
                <w:shd w:val="clear" w:color="auto" w:fill="000000"/>
              </w:rPr>
              <w:t>................</w:t>
            </w:r>
            <w:r>
              <w:rPr>
                <w:rStyle w:val="CharStyle22"/>
                <w:shd w:val="clear" w:color="auto" w:fill="000000"/>
              </w:rPr>
              <w:t>​........</w:t>
            </w:r>
            <w:r>
              <w:rPr>
                <w:rStyle w:val="CharStyle22"/>
                <w:spacing w:val="1"/>
                <w:shd w:val="clear" w:color="auto" w:fill="000000"/>
              </w:rPr>
              <w:t>.....</w:t>
            </w:r>
            <w:r>
              <w:rPr>
                <w:rStyle w:val="CharStyle22"/>
              </w:rPr>
              <w:t xml:space="preserve"> 28813936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CZ699005599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B 2978/KSHK Krajský soud v Hradci Králové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color w:val="0F142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2"/>
              </w:rPr>
              <w:t>Citibank Europe plc., č.ú. 2535610103/2600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0"/>
        </w:rPr>
        <w:t>(dále jen „prodávající“)</w:t>
      </w:r>
    </w:p>
    <w:p>
      <w:pPr>
        <w:widowControl w:val="0"/>
        <w:spacing w:after="93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Prodávající je oprávněn na základě svého vlastnického práva nakládat se zbožím ve formě buničité vaty, jejíž specifikace, včetně jejích jednotkových cen, je uvedena v příloze č. 1, která je nedílnou součástí této smlouvy.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Součástí dodávky zboží podle čl. 2 této smlouvy je vždy rovněž dodání všech dokladů, které se k dodávanému zboží vztahují a návody k použití v českém jazyce.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 xml:space="preserve">Prodávající se zavazuje plnit svůj závazek k dodání zboží podle čl. 1 této smlouvy vždy nejpozději do </w:t>
      </w:r>
      <w:r>
        <w:rPr>
          <w:rStyle w:val="CharStyle12"/>
          <w:b/>
          <w:bCs/>
        </w:rPr>
        <w:t xml:space="preserve">5-ti pracovních dní </w:t>
      </w:r>
      <w:r>
        <w:rPr>
          <w:rStyle w:val="CharStyle12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zadavatele.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60" w:line="240" w:lineRule="auto"/>
        <w:ind w:left="420" w:right="0" w:hanging="420"/>
        <w:jc w:val="both"/>
      </w:pPr>
      <w:r>
        <w:rPr>
          <w:rStyle w:val="CharStyle12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Kupující se zavazuje zaplatit prodávajícímu za předmět koupě a prodeje podle čl. 1 této smlouvy kupní cenu. Která je součtem jednotkových cen zboží, které jsou uvedeny v příloze č. 1 této smlouvy. Součástí těchto cen jsou veškeré náklady prodávajícího na splnění jeho závazku k dodání zboží podle této smlouvy. Výše uvedené ceny se prodávající zavazuje garantovat po dobu podle čl. 20 této smlouvy. Změna ceny je možná v souvislosti se změnou sazby DPH.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email: </w:t>
      </w:r>
      <w:r>
        <w:rPr>
          <w:rStyle w:val="CharStyle12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CharStyle12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12"/>
          <w:shd w:val="clear" w:color="auto" w:fill="000000"/>
          <w:lang w:val="en-US" w:eastAsia="en-US" w:bidi="en-US"/>
        </w:rPr>
        <w:t>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55"/>
          <w:shd w:val="clear" w:color="auto" w:fill="000000"/>
        </w:rPr>
        <w:t>.</w:t>
      </w:r>
      <w:r>
        <w:rPr>
          <w:rStyle w:val="CharStyle12"/>
        </w:rPr>
        <w:t xml:space="preserve"> </w:t>
      </w:r>
      <w:r>
        <w:rPr>
          <w:rStyle w:val="CharStyle12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12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12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CharStyle12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12"/>
          <w:color w:val="3073B7"/>
          <w:lang w:val="en-US" w:eastAsia="en-US" w:bidi="en-US"/>
        </w:rPr>
        <w:t xml:space="preserve"> </w:t>
      </w:r>
      <w:r>
        <w:rPr>
          <w:rStyle w:val="CharStyle12"/>
        </w:rPr>
        <w:t xml:space="preserve">Na faktuře/daňovém dokladu musí být mimo jiné vždy uvedeno toto číslo veřejné zakázky, ke které se faktura vztahuje: </w:t>
      </w:r>
      <w:r>
        <w:rPr>
          <w:rStyle w:val="CharStyle12"/>
          <w:b/>
          <w:bCs/>
        </w:rPr>
        <w:t xml:space="preserve">P22V00003669. </w:t>
      </w:r>
      <w:r>
        <w:rPr>
          <w:rStyle w:val="CharStyle12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S převodem zboží je podle čl. 1 této smlouvy spojena záruka za jeho jakost v trvání doby použitelnosti vyznačené na zboží, nejméně však v trvání minimálně 24-ti měsíců ode dne dodání příslušného zboží. V rámci záruky se prodávající zavazuje, že zboží podle čl. 1 této smlouvy bude nové, v neporušeném balení s řádným označením, s minimální skladovací životností po celou dobu uvedené záruční lhůty a bude mít po tuto dobu vlastnosti, které jsou stanoveny právními předpisy nebo technickými normami nebo jsou u zboží tohoto druhu obvyklé,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do 48 hodin od doručení příslušné reklamace kupujícího.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Pro případ prodlení se splněním závazku prodávajícího k dodání zboží ve lhůtě podle čl. 4 této smlouvy se prodávající zavazuje platit kupujícímu smluvní pokutu ve výši 0,1 % z kupní ceny podle čl. 7 této smlouvy za každý započatý den tohoto prodlení. Pro případ prodlení s odstraněním vady ve lhůtě podle čl. 9 této smlouvy se prodávající zavazuje platit kupujícímu smluvní pokutu ve výši 0,1% z kupní ceny zboží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680" w:right="0" w:hanging="380"/>
        <w:jc w:val="both"/>
      </w:pPr>
      <w:r>
        <w:rPr>
          <w:rStyle w:val="CharStyle12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Tato smlouva nabývá účinnosti po jejím podpisu oběma smluvními stranami dnem jejího uveřejnění v Registru smluv, nejdříve však 1.1.2023.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Tato smlouva se uzavírá na dobu určitou do 31. 12. 2024.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960" w:line="252" w:lineRule="auto"/>
        <w:ind w:left="400" w:right="0" w:hanging="400"/>
        <w:jc w:val="both"/>
      </w:pPr>
      <w:r>
        <w:rPr>
          <w:rStyle w:val="CharStyle12"/>
        </w:rPr>
        <w:t>Dáno ve dvou originálních písemných vyhotoveních, z nichž každá ze smluvních stran obdrží po jednom.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380" w:firstLine="0"/>
        <w:jc w:val="right"/>
      </w:pPr>
      <w:r>
        <mc:AlternateContent>
          <mc:Choice Requires="wps">
            <w:drawing>
              <wp:anchor distT="0" distB="798195" distL="114300" distR="1702435" simplePos="0" relativeHeight="125829378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12700</wp:posOffset>
                </wp:positionV>
                <wp:extent cx="658495" cy="1587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color w:val="0F1428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299999999999997pt;margin-top:1.pt;width:51.850000000000001pt;height:12.5pt;z-index:-125829375;mso-wrap-distance-left:9.pt;mso-wrap-distance-right:134.05000000000001pt;mso-wrap-distance-bottom:62.85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color w:val="0F1428"/>
                        </w:rPr>
                        <w:t>V 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389890" distB="0" distL="135890" distR="114300" simplePos="0" relativeHeight="125829380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402590</wp:posOffset>
            </wp:positionV>
            <wp:extent cx="2225040" cy="56705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225040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2"/>
        </w:rPr>
        <w:t>V Červeném Kostelci dne 22.11.2022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1620" w:right="0" w:firstLine="0"/>
        <w:jc w:val="left"/>
      </w:pPr>
      <w:r>
        <w:rPr>
          <w:rStyle w:val="CharStyle46"/>
          <w:rFonts w:ascii="Arial" w:eastAsia="Arial" w:hAnsi="Arial" w:cs="Arial"/>
          <w:sz w:val="28"/>
          <w:szCs w:val="28"/>
        </w:rPr>
        <w:t>Ing.</w:t>
        <w:tab/>
      </w:r>
      <w:r>
        <w:rPr>
          <w:rStyle w:val="CharStyle46"/>
        </w:rPr>
        <w:t>Digitálně</w:t>
      </w:r>
    </w:p>
    <w:p>
      <w:pPr>
        <w:pStyle w:val="Style45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2900" w:right="0" w:firstLine="0"/>
        <w:jc w:val="left"/>
      </w:pPr>
      <w:r>
        <w:rPr>
          <w:rStyle w:val="CharStyle46"/>
        </w:rPr>
        <w:t>podepsal Ing.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2782" w:val="left"/>
        </w:tabs>
        <w:bidi w:val="0"/>
        <w:spacing w:before="0" w:after="0" w:line="180" w:lineRule="auto"/>
        <w:ind w:left="1620" w:right="0" w:firstLine="0"/>
        <w:jc w:val="left"/>
      </w:pPr>
      <w:r>
        <w:rPr>
          <w:rStyle w:val="CharStyle46"/>
          <w:rFonts w:ascii="Arial" w:eastAsia="Arial" w:hAnsi="Arial" w:cs="Arial"/>
          <w:sz w:val="28"/>
          <w:szCs w:val="28"/>
        </w:rPr>
        <w:t>Tomáš</w:t>
        <w:tab/>
      </w:r>
      <w:r>
        <w:rPr>
          <w:rStyle w:val="CharStyle46"/>
        </w:rPr>
        <w:t>Tomáš Mertlík</w:t>
      </w:r>
    </w:p>
    <w:p>
      <w:pPr>
        <w:pStyle w:val="Style45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2900" w:right="0" w:firstLine="0"/>
        <w:jc w:val="left"/>
      </w:pPr>
      <w:r>
        <w:rPr>
          <w:rStyle w:val="CharStyle46"/>
        </w:rPr>
        <w:t>Datum: 2022.11.25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2782" w:val="left"/>
        </w:tabs>
        <w:bidi w:val="0"/>
        <w:spacing w:before="0" w:after="220" w:line="180" w:lineRule="auto"/>
        <w:ind w:left="1620" w:right="0" w:firstLine="0"/>
        <w:jc w:val="left"/>
      </w:pPr>
      <w:r>
        <w:rPr>
          <w:rStyle w:val="CharStyle46"/>
          <w:rFonts w:ascii="Arial" w:eastAsia="Arial" w:hAnsi="Arial" w:cs="Arial"/>
          <w:sz w:val="28"/>
          <w:szCs w:val="28"/>
        </w:rPr>
        <w:t>Mertlík</w:t>
        <w:tab/>
      </w:r>
      <w:r>
        <w:rPr>
          <w:rStyle w:val="CharStyle46"/>
        </w:rPr>
        <w:t>07:38:12+01'00'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12700</wp:posOffset>
                </wp:positionV>
                <wp:extent cx="1289050" cy="46037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460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Ing. Tomáš Mertlík, MBA Člen správní rady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b/>
                                <w:bCs/>
                                <w:color w:val="0F1428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2.94999999999999pt;margin-top:1.pt;width:101.5pt;height:36.2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Ing. Tomáš Mertlík, MBA Člen správní rady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  <w:color w:val="0F1428"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2"/>
        </w:rPr>
        <w:t>MUDr. Hana Albrechtová ředitelka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12"/>
          <w:b/>
          <w:bCs/>
        </w:rPr>
        <w:t>Kupující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2" w:right="513" w:bottom="1708" w:left="1316" w:header="0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Příloha č. 1 Specifikace, ceník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2"/>
          <w:b/>
          <w:bCs/>
        </w:rPr>
        <w:t>Příloha č. 1 Specifikace, ceník</w:t>
      </w:r>
    </w:p>
    <w:tbl>
      <w:tblPr>
        <w:tblOverlap w:val="never"/>
        <w:jc w:val="center"/>
        <w:tblLayout w:type="fixed"/>
      </w:tblPr>
      <w:tblGrid>
        <w:gridCol w:w="4627"/>
        <w:gridCol w:w="4320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22"/>
                <w:b/>
                <w:bCs/>
              </w:rPr>
              <w:t>B-CELL Vata bunič.v kart.20x30 přířezy 24x0,5kg,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Model - typové/výrobní označení: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22"/>
                <w:b/>
                <w:bCs/>
              </w:rPr>
              <w:t>MERTLIN s.r.o.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Výrobce: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Interní číslo kupujícího: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22"/>
                <w:b/>
                <w:bCs/>
              </w:rPr>
              <w:t>21001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Jednotková cena bez DPH: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22"/>
                <w:b/>
                <w:bCs/>
              </w:rPr>
              <w:t>47,65 Kč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Jednotková cena včetně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22"/>
                <w:b/>
                <w:bCs/>
              </w:rPr>
              <w:t>57,66 Kč</w:t>
            </w:r>
          </w:p>
        </w:tc>
      </w:tr>
    </w:tbl>
    <w:p>
      <w:pPr>
        <w:widowControl w:val="0"/>
        <w:spacing w:after="739" w:line="1" w:lineRule="exact"/>
      </w:pPr>
    </w:p>
    <w:tbl>
      <w:tblPr>
        <w:tblOverlap w:val="never"/>
        <w:jc w:val="center"/>
        <w:tblLayout w:type="fixed"/>
      </w:tblPr>
      <w:tblGrid>
        <w:gridCol w:w="859"/>
        <w:gridCol w:w="5357"/>
        <w:gridCol w:w="2818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EFEAC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2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EAC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EFEAC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Účastníkem nabízená hodnota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Přířezy buničité vaty, měkká, jemná, vysoce savá, stejnoměrná struktura.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Přířezy buničité vaty, měkká, jemná, vysoce savá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á 500 g v baleni po uvedeném rozměru 20 x 30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bal á 500g, 20 x 30 cm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2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Pouze bělená, nikoliv šedá.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bělená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483" w:right="528" w:bottom="1483" w:left="130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10079355</wp:posOffset>
              </wp:positionV>
              <wp:extent cx="266065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606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33_2022: Buničitá vata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200000000000003pt;margin-top:793.64999999999998pt;width:209.5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33_2022: Buničitá vata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F1428"/>
      <w:sz w:val="18"/>
      <w:szCs w:val="18"/>
      <w:u w:val="none"/>
    </w:rPr>
  </w:style>
  <w:style w:type="character" w:customStyle="1" w:styleId="CharStyle18">
    <w:name w:val="Nadpis #3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F1428"/>
      <w:sz w:val="20"/>
      <w:szCs w:val="20"/>
      <w:u w:val="none"/>
    </w:rPr>
  </w:style>
  <w:style w:type="character" w:customStyle="1" w:styleId="CharStyle22">
    <w:name w:val="Jiné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6">
    <w:name w:val="Základní text (2)_"/>
    <w:basedOn w:val="DefaultParagraphFont"/>
    <w:link w:val="Style4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auto"/>
      <w:ind w:firstLine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F1428"/>
      <w:sz w:val="18"/>
      <w:szCs w:val="18"/>
      <w:u w:val="none"/>
    </w:rPr>
  </w:style>
  <w:style w:type="paragraph" w:customStyle="1" w:styleId="Style17">
    <w:name w:val="Nadpis #3"/>
    <w:basedOn w:val="Normal"/>
    <w:link w:val="CharStyle18"/>
    <w:pPr>
      <w:widowControl w:val="0"/>
      <w:shd w:val="clear" w:color="auto" w:fill="auto"/>
      <w:spacing w:after="480"/>
      <w:ind w:left="2080" w:hanging="132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F1428"/>
      <w:sz w:val="20"/>
      <w:szCs w:val="20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5">
    <w:name w:val="Základní text (2)"/>
    <w:basedOn w:val="Normal"/>
    <w:link w:val="CharStyle46"/>
    <w:pPr>
      <w:widowControl w:val="0"/>
      <w:shd w:val="clear" w:color="auto" w:fill="auto"/>
      <w:spacing w:line="211" w:lineRule="auto"/>
      <w:ind w:left="226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/Relationships>
</file>