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678CCDEB" w14:textId="77777777" w:rsidR="002B7C3D" w:rsidRDefault="002B7C3D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</w:p>
    <w:p w14:paraId="2A422DFE" w14:textId="2091ED78" w:rsidR="0094631A" w:rsidRPr="00953C2E" w:rsidRDefault="00953C2E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953C2E">
        <w:rPr>
          <w:rFonts w:ascii="Arial" w:hAnsi="Arial" w:cs="Arial"/>
          <w:b/>
          <w:color w:val="000000" w:themeColor="text1"/>
          <w:sz w:val="28"/>
          <w:szCs w:val="28"/>
        </w:rPr>
        <w:t>Petr Svoboda</w:t>
      </w:r>
    </w:p>
    <w:p w14:paraId="47EB3327" w14:textId="6EB5CB24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 xml:space="preserve">Kadláčkova 1503, </w:t>
      </w:r>
      <w:r w:rsidR="001E05DB" w:rsidRPr="00953C2E">
        <w:rPr>
          <w:rFonts w:ascii="Arial" w:hAnsi="Arial" w:cs="Arial"/>
          <w:color w:val="000000" w:themeColor="text1"/>
          <w:sz w:val="22"/>
          <w:szCs w:val="22"/>
        </w:rPr>
        <w:t>739 11 Frýdlant nad Ostravicí</w:t>
      </w:r>
    </w:p>
    <w:p w14:paraId="5470D5CF" w14:textId="7C4FBB24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452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21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> </w:t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774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89C77F9" w14:textId="62AA71A6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C6C2D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25B392C8" w14:textId="5BB9E4F8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C6C2D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512B7ED" w14:textId="6162427C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C6C2D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6A2704EB" w14:textId="3DF76046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34287A">
        <w:rPr>
          <w:rFonts w:ascii="Arial" w:hAnsi="Arial" w:cs="Arial"/>
          <w:b/>
          <w:i/>
          <w:sz w:val="22"/>
          <w:szCs w:val="22"/>
        </w:rPr>
        <w:t>pronajíma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8C17389" w14:textId="77777777" w:rsidR="002B7C3D" w:rsidRDefault="002B7C3D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3089EDF" w14:textId="708566B0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407A2384" w:rsidR="0094631A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28B14324" w14:textId="77777777" w:rsidR="002B7C3D" w:rsidRPr="0055453D" w:rsidRDefault="002B7C3D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2DD665C9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9C6C2D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31B290C1" w14:textId="7BD0AAF8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9C6C2D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2A681042" w14:textId="7D653E58" w:rsidR="0094631A" w:rsidRPr="0094631A" w:rsidRDefault="0094631A" w:rsidP="0094631A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r w:rsidR="00327376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5448D23" w14:textId="490F295B" w:rsidR="0094631A" w:rsidRPr="0094631A" w:rsidRDefault="0094631A" w:rsidP="0094631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r w:rsidR="00327376" w:rsidRPr="009C6C2D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61E77DC3" w14:textId="718A08FF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34287A">
        <w:rPr>
          <w:rFonts w:ascii="Arial" w:hAnsi="Arial" w:cs="Arial"/>
          <w:b/>
          <w:i/>
          <w:sz w:val="22"/>
          <w:szCs w:val="22"/>
        </w:rPr>
        <w:t>nájemce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7CD4F7A7" w14:textId="77777777" w:rsidR="002B18BA" w:rsidRDefault="002B18B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5F9A04E5" w14:textId="265A9A0F" w:rsidR="0094631A" w:rsidRPr="0094631A" w:rsidRDefault="002B7C3D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94631A"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94631A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6DE475BB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II. Předmět smlouvy</w:t>
      </w:r>
    </w:p>
    <w:p w14:paraId="74DF4986" w14:textId="68186EC5" w:rsidR="001E05DB" w:rsidRPr="002B18BA" w:rsidRDefault="001E05DB" w:rsidP="001E05D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B18BA">
        <w:rPr>
          <w:rFonts w:ascii="Arial" w:hAnsi="Arial" w:cs="Arial"/>
          <w:sz w:val="22"/>
          <w:szCs w:val="22"/>
        </w:rPr>
        <w:t xml:space="preserve">Předmětem smlouvy je pronájem </w:t>
      </w:r>
      <w:r w:rsidR="0034287A" w:rsidRPr="002B18BA">
        <w:rPr>
          <w:rFonts w:ascii="Arial" w:hAnsi="Arial" w:cs="Arial"/>
          <w:sz w:val="22"/>
          <w:szCs w:val="22"/>
        </w:rPr>
        <w:t>reklamní p</w:t>
      </w:r>
      <w:r w:rsidRPr="002B18BA">
        <w:rPr>
          <w:rFonts w:ascii="Arial" w:hAnsi="Arial" w:cs="Arial"/>
          <w:sz w:val="22"/>
          <w:szCs w:val="22"/>
        </w:rPr>
        <w:t xml:space="preserve">lochy </w:t>
      </w:r>
      <w:r w:rsidR="0034287A" w:rsidRPr="002B18BA">
        <w:rPr>
          <w:rFonts w:ascii="Arial" w:hAnsi="Arial" w:cs="Arial"/>
          <w:sz w:val="22"/>
          <w:szCs w:val="22"/>
        </w:rPr>
        <w:t xml:space="preserve">na části nemovitosti s adresou </w:t>
      </w:r>
      <w:r w:rsidR="00EF3CF8" w:rsidRPr="002B18BA">
        <w:rPr>
          <w:rFonts w:ascii="Arial" w:hAnsi="Arial" w:cs="Arial"/>
          <w:sz w:val="22"/>
          <w:szCs w:val="22"/>
        </w:rPr>
        <w:t>Elektrárenská 56</w:t>
      </w:r>
      <w:r w:rsidR="002B18BA" w:rsidRPr="002B18BA">
        <w:rPr>
          <w:rFonts w:ascii="Arial" w:hAnsi="Arial" w:cs="Arial"/>
          <w:sz w:val="22"/>
          <w:szCs w:val="22"/>
        </w:rPr>
        <w:t xml:space="preserve"> ve Frýdla</w:t>
      </w:r>
      <w:r w:rsidR="00366684" w:rsidRPr="002B18BA">
        <w:rPr>
          <w:rFonts w:ascii="Arial" w:hAnsi="Arial" w:cs="Arial"/>
          <w:sz w:val="22"/>
          <w:szCs w:val="22"/>
        </w:rPr>
        <w:t>nt</w:t>
      </w:r>
      <w:r w:rsidR="002B18BA" w:rsidRPr="002B18BA">
        <w:rPr>
          <w:rFonts w:ascii="Arial" w:hAnsi="Arial" w:cs="Arial"/>
          <w:sz w:val="22"/>
          <w:szCs w:val="22"/>
        </w:rPr>
        <w:t>u</w:t>
      </w:r>
      <w:r w:rsidR="00366684" w:rsidRPr="002B18BA">
        <w:rPr>
          <w:rFonts w:ascii="Arial" w:hAnsi="Arial" w:cs="Arial"/>
          <w:sz w:val="22"/>
          <w:szCs w:val="22"/>
        </w:rPr>
        <w:t xml:space="preserve"> nad Ostravicí </w:t>
      </w:r>
      <w:r w:rsidR="0034287A" w:rsidRPr="002B18BA">
        <w:rPr>
          <w:rFonts w:ascii="Arial" w:hAnsi="Arial" w:cs="Arial"/>
          <w:sz w:val="22"/>
          <w:szCs w:val="22"/>
        </w:rPr>
        <w:t>(</w:t>
      </w:r>
      <w:r w:rsidR="002B18BA" w:rsidRPr="002B18BA">
        <w:rPr>
          <w:rFonts w:ascii="Arial" w:hAnsi="Arial" w:cs="Arial"/>
          <w:sz w:val="22"/>
          <w:szCs w:val="22"/>
        </w:rPr>
        <w:t>Příloha č. 1)</w:t>
      </w:r>
      <w:r w:rsidR="0034287A" w:rsidRPr="002B18BA">
        <w:rPr>
          <w:rFonts w:ascii="Arial" w:hAnsi="Arial" w:cs="Arial"/>
          <w:sz w:val="22"/>
          <w:szCs w:val="22"/>
        </w:rPr>
        <w:t xml:space="preserve">, a to za účelem umístění reklamní plachty </w:t>
      </w:r>
      <w:r w:rsidR="008813A7" w:rsidRPr="002B18BA">
        <w:rPr>
          <w:rFonts w:ascii="Arial" w:hAnsi="Arial" w:cs="Arial"/>
          <w:sz w:val="22"/>
          <w:szCs w:val="22"/>
        </w:rPr>
        <w:t>Nájemce</w:t>
      </w:r>
      <w:r w:rsidR="0034287A" w:rsidRPr="002B18BA">
        <w:rPr>
          <w:rFonts w:ascii="Arial" w:hAnsi="Arial" w:cs="Arial"/>
          <w:sz w:val="22"/>
          <w:szCs w:val="22"/>
        </w:rPr>
        <w:t xml:space="preserve"> o rozměru </w:t>
      </w:r>
      <w:r w:rsidR="002B18BA" w:rsidRPr="002B18BA">
        <w:rPr>
          <w:rFonts w:ascii="Arial" w:hAnsi="Arial" w:cs="Arial"/>
          <w:sz w:val="22"/>
          <w:szCs w:val="22"/>
        </w:rPr>
        <w:t>5,1</w:t>
      </w:r>
      <w:r w:rsidR="0034287A" w:rsidRPr="002B18BA">
        <w:rPr>
          <w:rFonts w:ascii="Arial" w:hAnsi="Arial" w:cs="Arial"/>
          <w:sz w:val="22"/>
          <w:szCs w:val="22"/>
        </w:rPr>
        <w:t xml:space="preserve"> </w:t>
      </w:r>
      <w:r w:rsidRPr="002B18BA">
        <w:rPr>
          <w:rFonts w:ascii="Arial" w:hAnsi="Arial" w:cs="Arial"/>
          <w:sz w:val="22"/>
          <w:szCs w:val="22"/>
        </w:rPr>
        <w:t xml:space="preserve">x </w:t>
      </w:r>
      <w:r w:rsidR="002B18BA" w:rsidRPr="002B18BA">
        <w:rPr>
          <w:rFonts w:ascii="Arial" w:hAnsi="Arial" w:cs="Arial"/>
          <w:sz w:val="22"/>
          <w:szCs w:val="22"/>
        </w:rPr>
        <w:t>2,4</w:t>
      </w:r>
      <w:r w:rsidR="0034287A" w:rsidRPr="002B18BA">
        <w:rPr>
          <w:rFonts w:ascii="Arial" w:hAnsi="Arial" w:cs="Arial"/>
          <w:sz w:val="22"/>
          <w:szCs w:val="22"/>
        </w:rPr>
        <w:t xml:space="preserve"> </w:t>
      </w:r>
      <w:r w:rsidRPr="002B18BA">
        <w:rPr>
          <w:rFonts w:ascii="Arial" w:hAnsi="Arial" w:cs="Arial"/>
          <w:sz w:val="22"/>
          <w:szCs w:val="22"/>
        </w:rPr>
        <w:t>m (š x v).</w:t>
      </w:r>
    </w:p>
    <w:p w14:paraId="3514A187" w14:textId="77777777" w:rsidR="001E05DB" w:rsidRPr="0034287A" w:rsidRDefault="001E05DB" w:rsidP="001E05DB">
      <w:pPr>
        <w:pStyle w:val="Zkladntext21"/>
        <w:ind w:left="360"/>
        <w:rPr>
          <w:rFonts w:ascii="Arial" w:hAnsi="Arial" w:cs="Arial"/>
          <w:sz w:val="22"/>
          <w:szCs w:val="22"/>
        </w:rPr>
      </w:pPr>
    </w:p>
    <w:p w14:paraId="2899B967" w14:textId="2C1CF4B4" w:rsidR="0034287A" w:rsidRPr="0034287A" w:rsidRDefault="002B7C3D" w:rsidP="0034287A">
      <w:pPr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br/>
      </w:r>
      <w:r w:rsidR="0034287A" w:rsidRPr="0034287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III. Doba trvání nájmu</w:t>
      </w:r>
    </w:p>
    <w:p w14:paraId="2C6A5C2B" w14:textId="77777777" w:rsidR="0034287A" w:rsidRPr="0034287A" w:rsidRDefault="0034287A" w:rsidP="0034287A">
      <w:pPr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14:paraId="075E967F" w14:textId="2B7620C6" w:rsidR="0034287A" w:rsidRPr="0034287A" w:rsidRDefault="0034287A" w:rsidP="0034287A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Nájem reklamní plochy se sjednává na dobu 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od 1.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října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2021 do 30.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září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 možností přednostního prodloužení výše sjednané doby za podmínek stanovených touto Smlouvou o nájmu. </w:t>
      </w:r>
    </w:p>
    <w:p w14:paraId="52C03471" w14:textId="33697ACB" w:rsidR="0034287A" w:rsidRDefault="0034287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09898DB" w14:textId="112DC971" w:rsidR="002B7C3D" w:rsidRDefault="002B7C3D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495ACA0" w14:textId="77777777" w:rsidR="002B18BA" w:rsidRDefault="002B18B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F2457DD" w14:textId="704B94D8" w:rsidR="002B7C3D" w:rsidRDefault="002B7C3D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E9A2153" w14:textId="77777777" w:rsidR="002B7C3D" w:rsidRPr="0034287A" w:rsidRDefault="002B7C3D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D35B9B2" w14:textId="0DCA3928" w:rsidR="0034287A" w:rsidRPr="002B7C3D" w:rsidRDefault="0034287A" w:rsidP="0034287A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B7C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Každá ze smluvních stran může tuto smlouvu kdykoliv vypovědět písemnou výpovědí zaslanou druhé smluvní straně doporučenou poštou. Výpovědní lhůta činí 3 měsíce a počíná běžet prvním dnem kalendářního měsíce následujícího po měsíci, v němž bude výpověď doručena příslušné smluvní straně.</w:t>
      </w:r>
    </w:p>
    <w:p w14:paraId="0D7327B1" w14:textId="77777777" w:rsidR="0034287A" w:rsidRPr="0034287A" w:rsidRDefault="0034287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5C665AE" w14:textId="77777777" w:rsidR="0034287A" w:rsidRPr="0034287A" w:rsidRDefault="0034287A" w:rsidP="0034287A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Nájemní smlouvu lze rovněž ukončit výpovědí s výpovědní lhůtou jednoho měsíce ode dne doručení písemné výpovědi druhé smluvní straně, pokud je důvodem k výpovědi hrubé poručení této smlouvy druhou stranou. Za hrubé porušení smlouvy se považuje zejména:</w:t>
      </w:r>
    </w:p>
    <w:p w14:paraId="77377669" w14:textId="5EDA4B77" w:rsidR="0034287A" w:rsidRPr="0034287A" w:rsidRDefault="008813A7" w:rsidP="0034287A">
      <w:pPr>
        <w:pStyle w:val="Odstavecseseznamem"/>
        <w:numPr>
          <w:ilvl w:val="0"/>
          <w:numId w:val="17"/>
        </w:numPr>
        <w:spacing w:after="160" w:line="259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34287A"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rodlení Nájemce se zaplacením nájemného podle této smlouvy po dobu delší než 20 dní.</w:t>
      </w:r>
    </w:p>
    <w:p w14:paraId="25C68ECF" w14:textId="1DC759A0" w:rsidR="0034287A" w:rsidRPr="0034287A" w:rsidRDefault="008813A7" w:rsidP="0034287A">
      <w:pPr>
        <w:pStyle w:val="Odstavecseseznamem"/>
        <w:numPr>
          <w:ilvl w:val="0"/>
          <w:numId w:val="17"/>
        </w:numPr>
        <w:spacing w:after="160" w:line="259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</w:t>
      </w:r>
      <w:r w:rsidR="0034287A"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hování Nájemce, v jehož důsledku vzniká předmětu nájmu škoda, nebo hrozí vznik značné škody nebo které jinak odporuje dobrým mravům.</w:t>
      </w:r>
    </w:p>
    <w:p w14:paraId="4D616DFF" w14:textId="5DEBA4CA" w:rsidR="0034287A" w:rsidRPr="0034287A" w:rsidRDefault="008813A7" w:rsidP="0034287A">
      <w:pPr>
        <w:pStyle w:val="Odstavecseseznamem"/>
        <w:numPr>
          <w:ilvl w:val="0"/>
          <w:numId w:val="17"/>
        </w:numPr>
        <w:spacing w:after="160" w:line="259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č</w:t>
      </w:r>
      <w:r w:rsidR="0034287A"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innost Pronajímatele, která Nájemci znemožňuje řádné užívání předmětu nájmu.</w:t>
      </w:r>
    </w:p>
    <w:p w14:paraId="2DC59E76" w14:textId="77777777" w:rsidR="0034287A" w:rsidRPr="0034287A" w:rsidRDefault="0034287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15CF202" w14:textId="77777777" w:rsidR="0034287A" w:rsidRPr="0034287A" w:rsidRDefault="0034287A" w:rsidP="0034287A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Nájemní vztah může být rovněž ukončen dohodou smluvních stran.</w:t>
      </w:r>
    </w:p>
    <w:p w14:paraId="35BCE1BD" w14:textId="7FD326F3" w:rsidR="0034287A" w:rsidRPr="002B7C3D" w:rsidRDefault="0034287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DEA3E4E" w14:textId="0E08BEC9" w:rsidR="002B7C3D" w:rsidRPr="002B7C3D" w:rsidRDefault="002B7C3D" w:rsidP="002B7C3D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B7C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 ukončení pronájmu má Nájemce výhradní právo na prodloužení této nájemní smlouvy, svůj zájem musí Nájemce oznámit Pronajímateli nejpozději dva měsíce před vypršením nájmu,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pokud tak neučiní, má se za to, že Nájemce má zájem v nájmu plochy pokračovat.</w:t>
      </w:r>
    </w:p>
    <w:p w14:paraId="628A479D" w14:textId="77777777" w:rsidR="002B7C3D" w:rsidRPr="0034287A" w:rsidRDefault="002B7C3D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AD1DEA6" w14:textId="77777777" w:rsidR="009A2FCE" w:rsidRPr="0034287A" w:rsidRDefault="009A2FCE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7E85714F" w14:textId="111D6E9C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</w:t>
      </w:r>
      <w:r w:rsidR="008813A7">
        <w:rPr>
          <w:rFonts w:ascii="Arial" w:hAnsi="Arial" w:cs="Arial"/>
          <w:b/>
          <w:sz w:val="22"/>
          <w:szCs w:val="22"/>
        </w:rPr>
        <w:t>V</w:t>
      </w:r>
      <w:r w:rsidRPr="0094631A">
        <w:rPr>
          <w:rFonts w:ascii="Arial" w:hAnsi="Arial" w:cs="Arial"/>
          <w:b/>
          <w:sz w:val="22"/>
          <w:szCs w:val="22"/>
        </w:rPr>
        <w:t xml:space="preserve">. </w:t>
      </w:r>
      <w:r w:rsidR="008813A7">
        <w:rPr>
          <w:rFonts w:ascii="Arial" w:hAnsi="Arial" w:cs="Arial"/>
          <w:b/>
          <w:sz w:val="22"/>
          <w:szCs w:val="22"/>
        </w:rPr>
        <w:t>Nájemné</w:t>
      </w:r>
      <w:r w:rsidRPr="0094631A"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59804A43" w14:textId="451F2995" w:rsidR="008813A7" w:rsidRPr="008813A7" w:rsidRDefault="008813A7" w:rsidP="008813A7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Cena nájemného na jeden měsíc je stanovena dohodou ve výši </w:t>
      </w:r>
      <w:r w:rsidR="002B18B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8813A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.</w:t>
      </w:r>
      <w:r w:rsidR="002B18B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5</w:t>
      </w:r>
      <w:r w:rsidR="002B7C3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</w:t>
      </w:r>
      <w:r w:rsidRPr="008813A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 Kč + 21 % DPH</w:t>
      </w: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Roční nájemné tedy činí </w:t>
      </w:r>
      <w:r w:rsidR="002B7C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</w:t>
      </w:r>
      <w:r w:rsidR="002B18B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</w:t>
      </w: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.000 Kč + 21 %</w:t>
      </w:r>
      <w:r w:rsidRPr="008813A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DPH.  </w:t>
      </w:r>
    </w:p>
    <w:p w14:paraId="29ADCBCD" w14:textId="77777777" w:rsidR="008813A7" w:rsidRPr="008813A7" w:rsidRDefault="008813A7" w:rsidP="008813A7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B703AB0" w14:textId="3C1C81F1" w:rsidR="008813A7" w:rsidRPr="008813A7" w:rsidRDefault="008813A7" w:rsidP="008813A7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Nájemné bude hrazeno Nájemcem na základě faktur vystavených Pronajímatelem čtvrtletně dopředu se splatností 14 dní, od data doručení faktury Nájemci. Fakturu může Pronajímatel zaslat e-mailem na adresu faktur</w:t>
      </w:r>
      <w:r w:rsidR="002B7C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</w:t>
      </w:r>
      <w:r w:rsidRPr="008813A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@rbp-zp.cz.</w:t>
      </w:r>
    </w:p>
    <w:p w14:paraId="6B8822CA" w14:textId="77777777" w:rsidR="008813A7" w:rsidRPr="008813A7" w:rsidRDefault="008813A7" w:rsidP="008813A7">
      <w:pPr>
        <w:pStyle w:val="Odstavecseseznamem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91E7040" w14:textId="77777777" w:rsidR="002B18BA" w:rsidRPr="002B18BA" w:rsidRDefault="002B18BA" w:rsidP="002B18BA">
      <w:pPr>
        <w:pStyle w:val="Odstavecseseznamem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74179C0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9B3F513" w14:textId="77777777" w:rsidR="009F0C9A" w:rsidRDefault="009F0C9A" w:rsidP="009F0C9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 xml:space="preserve">V. </w:t>
      </w:r>
      <w:r>
        <w:rPr>
          <w:rFonts w:ascii="Arial" w:hAnsi="Arial" w:cs="Arial"/>
          <w:b/>
          <w:sz w:val="22"/>
          <w:szCs w:val="22"/>
        </w:rPr>
        <w:t xml:space="preserve">Ostatní </w:t>
      </w:r>
      <w:r w:rsidRPr="0094631A">
        <w:rPr>
          <w:rFonts w:ascii="Arial" w:hAnsi="Arial" w:cs="Arial"/>
          <w:b/>
          <w:sz w:val="22"/>
          <w:szCs w:val="22"/>
        </w:rPr>
        <w:t>á ustanovení</w:t>
      </w:r>
    </w:p>
    <w:p w14:paraId="57CD82AA" w14:textId="77777777" w:rsidR="009F0C9A" w:rsidRPr="0094631A" w:rsidRDefault="009F0C9A" w:rsidP="009F0C9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6D95593" w14:textId="7C2DF38A" w:rsidR="009F0C9A" w:rsidRPr="00D66C2C" w:rsidRDefault="009F0C9A" w:rsidP="009F0C9A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66C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Nájemce si zajistí dodání </w:t>
      </w:r>
      <w:r w:rsidR="0070093C" w:rsidRPr="00D66C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 vylepení </w:t>
      </w:r>
      <w:r w:rsidRPr="00D66C2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banneru. </w:t>
      </w:r>
    </w:p>
    <w:p w14:paraId="4EA304AB" w14:textId="77777777" w:rsidR="009F0C9A" w:rsidRPr="009F0C9A" w:rsidRDefault="009F0C9A" w:rsidP="009F0C9A">
      <w:pPr>
        <w:numPr>
          <w:ilvl w:val="0"/>
          <w:numId w:val="20"/>
        </w:num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F0C9A">
        <w:rPr>
          <w:rFonts w:ascii="Arial" w:hAnsi="Arial" w:cs="Arial"/>
          <w:snapToGrid w:val="0"/>
          <w:color w:val="000000" w:themeColor="text1"/>
          <w:sz w:val="22"/>
          <w:szCs w:val="22"/>
        </w:rPr>
        <w:t>Nájemce se zavazuje k plné odpovědnosti za obsah umístěné reklamy a dále za to, že obsah a stav nevyvolá v divákovi nepříznivý dojem a bude plně v souladu s platnými předpisy, včetně předpisů bezpečnostních a dopravních. Dále se zavazuje, že obsah reklamy bude sloužit pouze k propagaci vlastní činnosti Nájemce a nebude propagovat jakoukoliv politickou stranu.</w:t>
      </w:r>
    </w:p>
    <w:p w14:paraId="5EF6F980" w14:textId="77777777" w:rsidR="009F0C9A" w:rsidRPr="009F0C9A" w:rsidRDefault="009F0C9A" w:rsidP="009F0C9A">
      <w:pPr>
        <w:ind w:left="360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3CE8B20" w14:textId="77777777" w:rsidR="009F0C9A" w:rsidRPr="009F0C9A" w:rsidRDefault="009F0C9A" w:rsidP="009F0C9A">
      <w:pPr>
        <w:numPr>
          <w:ilvl w:val="0"/>
          <w:numId w:val="20"/>
        </w:num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F0C9A">
        <w:rPr>
          <w:rFonts w:ascii="Arial" w:hAnsi="Arial" w:cs="Arial"/>
          <w:snapToGrid w:val="0"/>
          <w:color w:val="000000" w:themeColor="text1"/>
          <w:sz w:val="22"/>
          <w:szCs w:val="22"/>
        </w:rPr>
        <w:t>Pronajímatel neodpovídá za možné poškození vyšší mocí a vandalizmem. V případě, že by se tak stalo, je pronajímatel povinen na tuto skutečnost nájemce upozornit.</w:t>
      </w:r>
    </w:p>
    <w:p w14:paraId="65BC2C7B" w14:textId="77777777" w:rsidR="009F0C9A" w:rsidRDefault="009F0C9A" w:rsidP="009F0C9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F034D10" w14:textId="77777777" w:rsidR="009F0C9A" w:rsidRDefault="009F0C9A" w:rsidP="009F0C9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565061" w14:textId="77777777" w:rsidR="001E05DB" w:rsidRPr="00C9493B" w:rsidRDefault="001E05DB" w:rsidP="001E05DB">
      <w:pPr>
        <w:contextualSpacing/>
        <w:jc w:val="center"/>
        <w:rPr>
          <w:b/>
          <w:sz w:val="20"/>
          <w:szCs w:val="20"/>
        </w:rPr>
      </w:pPr>
    </w:p>
    <w:p w14:paraId="25DE5EEF" w14:textId="155E9061" w:rsidR="0094631A" w:rsidRPr="0094631A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</w:t>
      </w:r>
      <w:r w:rsidR="00261915">
        <w:rPr>
          <w:rFonts w:ascii="Arial" w:hAnsi="Arial" w:cs="Arial"/>
          <w:b/>
          <w:sz w:val="22"/>
          <w:szCs w:val="22"/>
        </w:rPr>
        <w:t>I</w:t>
      </w:r>
      <w:r w:rsidRPr="0094631A">
        <w:rPr>
          <w:rFonts w:ascii="Arial" w:hAnsi="Arial" w:cs="Arial"/>
          <w:b/>
          <w:sz w:val="22"/>
          <w:szCs w:val="22"/>
        </w:rPr>
        <w:t>. Závěrečná ustanovení</w:t>
      </w:r>
    </w:p>
    <w:p w14:paraId="5EECCF8A" w14:textId="77777777" w:rsidR="0094631A" w:rsidRPr="0094631A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3DE2BD5F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3E87AFFE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ABA8BB7" w14:textId="77777777" w:rsidR="00EE44E9" w:rsidRDefault="0094631A" w:rsidP="00EE44E9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418ED2A8" w14:textId="5AB49AE7" w:rsidR="00EE44E9" w:rsidRDefault="00EE44E9" w:rsidP="00EE44E9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5DA77A17" w14:textId="7D03ACF4" w:rsidR="009F0C9A" w:rsidRDefault="009F0C9A" w:rsidP="00EE44E9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110EFC5D" w14:textId="06F428AC" w:rsidR="009F0C9A" w:rsidRDefault="009F0C9A" w:rsidP="00EE44E9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5FC8FA64" w14:textId="77777777" w:rsidR="009F0C9A" w:rsidRDefault="009F0C9A" w:rsidP="00EE44E9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19BBADC5" w14:textId="77777777" w:rsidR="00EE44E9" w:rsidRDefault="00EE44E9" w:rsidP="00EE44E9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E44E9">
        <w:rPr>
          <w:rFonts w:ascii="Arial" w:hAnsi="Arial"/>
          <w:color w:val="000000" w:themeColor="text1"/>
          <w:sz w:val="22"/>
          <w:szCs w:val="22"/>
        </w:rPr>
        <w:t xml:space="preserve">Nájemce pro účely efektivní komunikace s Pronajímatelem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Pronajímatel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EE44E9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EE44E9">
        <w:rPr>
          <w:rFonts w:ascii="Arial" w:hAnsi="Arial"/>
          <w:color w:val="000000" w:themeColor="text1"/>
          <w:sz w:val="22"/>
          <w:szCs w:val="22"/>
        </w:rPr>
        <w:t>.</w:t>
      </w:r>
    </w:p>
    <w:p w14:paraId="1546A689" w14:textId="77777777" w:rsidR="00EE44E9" w:rsidRDefault="00EE44E9" w:rsidP="00EE44E9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77F8E4F" w14:textId="146A9C1C" w:rsidR="00EE44E9" w:rsidRPr="00EE44E9" w:rsidRDefault="00EE44E9" w:rsidP="00EE44E9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E44E9">
        <w:rPr>
          <w:rFonts w:ascii="Arial" w:hAnsi="Arial" w:cs="Arial"/>
          <w:color w:val="000000" w:themeColor="text1"/>
          <w:sz w:val="22"/>
          <w:szCs w:val="22"/>
        </w:rPr>
        <w:t xml:space="preserve">Pronajímatel prohlašuje, že ke dni uzavření této smlouvy vůči němu není vedeno řízení dle zákona č. 182/2006 Sb., o úpadku a způsobech jeho řešení (insolvenční zákon), ve znění pozdějších předpisů, a zároveň se zavazuje Nájemce o všech skutečnostech o hrozícím úpadku bezodkladně informovat. </w:t>
      </w:r>
    </w:p>
    <w:p w14:paraId="5D352C93" w14:textId="77777777" w:rsidR="002B7C3D" w:rsidRPr="00EE44E9" w:rsidRDefault="002B7C3D" w:rsidP="002B7C3D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5A922C8D" w14:textId="7FA4CE01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5D700C9D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</w:t>
      </w:r>
      <w:r w:rsidR="00823BF2">
        <w:rPr>
          <w:rFonts w:ascii="Arial" w:hAnsi="Arial" w:cs="Arial"/>
          <w:sz w:val="22"/>
          <w:szCs w:val="22"/>
        </w:rPr>
        <w:t>e Frýdlantu nad Ostravicí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0554A0CA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1AA907A1" w14:textId="333B7163" w:rsidR="002B7C3D" w:rsidRDefault="002B7C3D" w:rsidP="0094631A">
      <w:pPr>
        <w:jc w:val="both"/>
        <w:rPr>
          <w:rFonts w:ascii="Arial" w:hAnsi="Arial" w:cs="Arial"/>
          <w:sz w:val="22"/>
          <w:szCs w:val="22"/>
        </w:rPr>
      </w:pPr>
    </w:p>
    <w:p w14:paraId="0A79AEF3" w14:textId="79394B6F" w:rsidR="00D66C2C" w:rsidRDefault="00D66C2C" w:rsidP="0094631A">
      <w:pPr>
        <w:jc w:val="both"/>
        <w:rPr>
          <w:rFonts w:ascii="Arial" w:hAnsi="Arial" w:cs="Arial"/>
          <w:sz w:val="22"/>
          <w:szCs w:val="22"/>
        </w:rPr>
      </w:pPr>
    </w:p>
    <w:p w14:paraId="260FD324" w14:textId="77777777" w:rsidR="00D66C2C" w:rsidRDefault="00D66C2C" w:rsidP="0094631A">
      <w:pPr>
        <w:jc w:val="both"/>
        <w:rPr>
          <w:rFonts w:ascii="Arial" w:hAnsi="Arial" w:cs="Arial"/>
          <w:sz w:val="22"/>
          <w:szCs w:val="22"/>
        </w:rPr>
      </w:pPr>
    </w:p>
    <w:p w14:paraId="60D45AC1" w14:textId="4DAA8943" w:rsidR="002B7C3D" w:rsidRDefault="002B7C3D" w:rsidP="0094631A">
      <w:pPr>
        <w:jc w:val="both"/>
        <w:rPr>
          <w:rFonts w:ascii="Arial" w:hAnsi="Arial" w:cs="Arial"/>
          <w:sz w:val="22"/>
          <w:szCs w:val="22"/>
        </w:rPr>
      </w:pPr>
    </w:p>
    <w:p w14:paraId="22609F71" w14:textId="77777777" w:rsidR="002B7C3D" w:rsidRDefault="002B7C3D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77777777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58B34" w14:textId="67D00DCF" w:rsidR="0094631A" w:rsidRP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823BF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9F0C9A">
        <w:rPr>
          <w:rFonts w:ascii="Arial" w:hAnsi="Arial" w:cs="Arial"/>
          <w:color w:val="000000" w:themeColor="text1"/>
          <w:sz w:val="22"/>
          <w:szCs w:val="22"/>
        </w:rPr>
        <w:t xml:space="preserve">    Petr Svoboda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823BF2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2A882989" w:rsidR="0094631A" w:rsidRPr="0094631A" w:rsidRDefault="0094631A" w:rsidP="00202075">
      <w:pPr>
        <w:jc w:val="both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 xml:space="preserve">       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výkonný ředitel</w:t>
      </w:r>
    </w:p>
    <w:sectPr w:rsidR="0094631A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49B8" w14:textId="77777777" w:rsidR="00293980" w:rsidRDefault="00293980" w:rsidP="00011F43">
      <w:r>
        <w:separator/>
      </w:r>
    </w:p>
  </w:endnote>
  <w:endnote w:type="continuationSeparator" w:id="0">
    <w:p w14:paraId="1E69AF03" w14:textId="77777777" w:rsidR="00293980" w:rsidRDefault="00293980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2C92" w14:textId="77777777" w:rsidR="00293980" w:rsidRDefault="00293980" w:rsidP="00011F43">
      <w:r>
        <w:separator/>
      </w:r>
    </w:p>
  </w:footnote>
  <w:footnote w:type="continuationSeparator" w:id="0">
    <w:p w14:paraId="2A78AC79" w14:textId="77777777" w:rsidR="00293980" w:rsidRDefault="00293980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CA11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C2C98"/>
    <w:multiLevelType w:val="multilevel"/>
    <w:tmpl w:val="E6B2E7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2215AC"/>
    <w:multiLevelType w:val="multilevel"/>
    <w:tmpl w:val="C9A66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FD58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AC6A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5438617">
    <w:abstractNumId w:val="5"/>
  </w:num>
  <w:num w:numId="2" w16cid:durableId="661547220">
    <w:abstractNumId w:val="1"/>
  </w:num>
  <w:num w:numId="3" w16cid:durableId="1407455186">
    <w:abstractNumId w:val="4"/>
  </w:num>
  <w:num w:numId="4" w16cid:durableId="745956263">
    <w:abstractNumId w:val="6"/>
  </w:num>
  <w:num w:numId="5" w16cid:durableId="257906385">
    <w:abstractNumId w:val="3"/>
  </w:num>
  <w:num w:numId="6" w16cid:durableId="1449860087">
    <w:abstractNumId w:val="13"/>
  </w:num>
  <w:num w:numId="7" w16cid:durableId="891575112">
    <w:abstractNumId w:val="10"/>
  </w:num>
  <w:num w:numId="8" w16cid:durableId="396051645">
    <w:abstractNumId w:val="17"/>
  </w:num>
  <w:num w:numId="9" w16cid:durableId="1874999919">
    <w:abstractNumId w:val="18"/>
  </w:num>
  <w:num w:numId="10" w16cid:durableId="449471152">
    <w:abstractNumId w:val="7"/>
  </w:num>
  <w:num w:numId="11" w16cid:durableId="185411652">
    <w:abstractNumId w:val="8"/>
  </w:num>
  <w:num w:numId="12" w16cid:durableId="1311519500">
    <w:abstractNumId w:val="14"/>
  </w:num>
  <w:num w:numId="13" w16cid:durableId="836114722">
    <w:abstractNumId w:val="0"/>
  </w:num>
  <w:num w:numId="14" w16cid:durableId="100339238">
    <w:abstractNumId w:val="16"/>
  </w:num>
  <w:num w:numId="15" w16cid:durableId="126903014">
    <w:abstractNumId w:val="2"/>
  </w:num>
  <w:num w:numId="16" w16cid:durableId="13116555">
    <w:abstractNumId w:val="15"/>
  </w:num>
  <w:num w:numId="17" w16cid:durableId="1851797720">
    <w:abstractNumId w:val="11"/>
  </w:num>
  <w:num w:numId="18" w16cid:durableId="1987975927">
    <w:abstractNumId w:val="9"/>
  </w:num>
  <w:num w:numId="19" w16cid:durableId="818418805">
    <w:abstractNumId w:val="19"/>
  </w:num>
  <w:num w:numId="20" w16cid:durableId="1889536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1612E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1E05DB"/>
    <w:rsid w:val="00202075"/>
    <w:rsid w:val="0024264C"/>
    <w:rsid w:val="00255AF9"/>
    <w:rsid w:val="00261915"/>
    <w:rsid w:val="00293980"/>
    <w:rsid w:val="002A0994"/>
    <w:rsid w:val="002B18BA"/>
    <w:rsid w:val="002B7C3D"/>
    <w:rsid w:val="002F5E2C"/>
    <w:rsid w:val="00312EA2"/>
    <w:rsid w:val="00321502"/>
    <w:rsid w:val="00327376"/>
    <w:rsid w:val="0034287A"/>
    <w:rsid w:val="00366684"/>
    <w:rsid w:val="00403C57"/>
    <w:rsid w:val="004104AF"/>
    <w:rsid w:val="00477A50"/>
    <w:rsid w:val="0048024F"/>
    <w:rsid w:val="00481903"/>
    <w:rsid w:val="004838D4"/>
    <w:rsid w:val="004B536D"/>
    <w:rsid w:val="0050333E"/>
    <w:rsid w:val="00542224"/>
    <w:rsid w:val="005837B7"/>
    <w:rsid w:val="005D6F23"/>
    <w:rsid w:val="005F0296"/>
    <w:rsid w:val="00603B56"/>
    <w:rsid w:val="00606A9E"/>
    <w:rsid w:val="00630484"/>
    <w:rsid w:val="00644C74"/>
    <w:rsid w:val="00676ACE"/>
    <w:rsid w:val="0070093C"/>
    <w:rsid w:val="007206B9"/>
    <w:rsid w:val="00721C64"/>
    <w:rsid w:val="007329C5"/>
    <w:rsid w:val="00733875"/>
    <w:rsid w:val="007410D0"/>
    <w:rsid w:val="00743DE9"/>
    <w:rsid w:val="00765896"/>
    <w:rsid w:val="007B6FC1"/>
    <w:rsid w:val="007D23E6"/>
    <w:rsid w:val="0080583A"/>
    <w:rsid w:val="0082236F"/>
    <w:rsid w:val="00823BF2"/>
    <w:rsid w:val="008474B6"/>
    <w:rsid w:val="00865E3F"/>
    <w:rsid w:val="00870B27"/>
    <w:rsid w:val="008747AC"/>
    <w:rsid w:val="008813A7"/>
    <w:rsid w:val="008A74E7"/>
    <w:rsid w:val="008A7E74"/>
    <w:rsid w:val="008E1588"/>
    <w:rsid w:val="00916470"/>
    <w:rsid w:val="0094631A"/>
    <w:rsid w:val="00953C2E"/>
    <w:rsid w:val="009A2FCE"/>
    <w:rsid w:val="009C6C2D"/>
    <w:rsid w:val="009F0C9A"/>
    <w:rsid w:val="00A33B08"/>
    <w:rsid w:val="00A60D10"/>
    <w:rsid w:val="00A61D06"/>
    <w:rsid w:val="00A97877"/>
    <w:rsid w:val="00AF0F08"/>
    <w:rsid w:val="00AF35DB"/>
    <w:rsid w:val="00B914BF"/>
    <w:rsid w:val="00C47A6E"/>
    <w:rsid w:val="00C759E6"/>
    <w:rsid w:val="00C96E38"/>
    <w:rsid w:val="00CA4D68"/>
    <w:rsid w:val="00D044DF"/>
    <w:rsid w:val="00D31987"/>
    <w:rsid w:val="00D6296A"/>
    <w:rsid w:val="00D66C2C"/>
    <w:rsid w:val="00D92EE0"/>
    <w:rsid w:val="00DC60B7"/>
    <w:rsid w:val="00E21AA1"/>
    <w:rsid w:val="00E467F8"/>
    <w:rsid w:val="00E632BF"/>
    <w:rsid w:val="00EA7ECE"/>
    <w:rsid w:val="00EC0C7D"/>
    <w:rsid w:val="00EE44E9"/>
    <w:rsid w:val="00EF3CF8"/>
    <w:rsid w:val="00F21040"/>
    <w:rsid w:val="00F26F45"/>
    <w:rsid w:val="00F32C53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1E05DB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2021-09-03T12:48:00Z</cp:lastPrinted>
  <dcterms:created xsi:type="dcterms:W3CDTF">2021-09-20T19:10:00Z</dcterms:created>
  <dcterms:modified xsi:type="dcterms:W3CDTF">2022-12-02T09:53:00Z</dcterms:modified>
</cp:coreProperties>
</file>