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FF" w:rsidRDefault="00C270FF" w:rsidP="00356044">
      <w:pPr>
        <w:spacing w:after="0"/>
        <w:jc w:val="center"/>
        <w:rPr>
          <w:b/>
          <w:bCs/>
        </w:rPr>
      </w:pPr>
    </w:p>
    <w:p w:rsidR="009D33D1" w:rsidRPr="001D51EC" w:rsidRDefault="009D33D1" w:rsidP="00356044">
      <w:pPr>
        <w:spacing w:after="0"/>
        <w:jc w:val="center"/>
        <w:rPr>
          <w:b/>
          <w:bCs/>
          <w:sz w:val="24"/>
          <w:szCs w:val="24"/>
        </w:rPr>
      </w:pPr>
      <w:r w:rsidRPr="001D51EC">
        <w:rPr>
          <w:b/>
          <w:bCs/>
          <w:sz w:val="24"/>
          <w:szCs w:val="24"/>
        </w:rPr>
        <w:t>Smlouva</w:t>
      </w:r>
    </w:p>
    <w:p w:rsidR="009D33D1" w:rsidRPr="001D51EC" w:rsidRDefault="009D33D1" w:rsidP="00356044">
      <w:pPr>
        <w:spacing w:after="0"/>
        <w:jc w:val="center"/>
        <w:rPr>
          <w:b/>
          <w:bCs/>
          <w:sz w:val="24"/>
          <w:szCs w:val="24"/>
        </w:rPr>
      </w:pPr>
      <w:r w:rsidRPr="001D51EC">
        <w:rPr>
          <w:b/>
          <w:bCs/>
          <w:sz w:val="24"/>
          <w:szCs w:val="24"/>
        </w:rPr>
        <w:t>o společném postupu zadavatelů při centralizovaném zadávání veřejné zakázky na svoz a likvidaci odpadů</w:t>
      </w:r>
    </w:p>
    <w:p w:rsidR="00C270FF" w:rsidRPr="009D33D1" w:rsidRDefault="00C270FF" w:rsidP="00356044">
      <w:pPr>
        <w:spacing w:after="0"/>
        <w:jc w:val="center"/>
      </w:pPr>
    </w:p>
    <w:p w:rsidR="009D33D1" w:rsidRPr="009D33D1" w:rsidRDefault="009D33D1" w:rsidP="00356044">
      <w:pPr>
        <w:spacing w:after="0"/>
        <w:jc w:val="both"/>
      </w:pPr>
    </w:p>
    <w:p w:rsidR="009D33D1" w:rsidRDefault="009D33D1" w:rsidP="00356044">
      <w:pPr>
        <w:spacing w:after="0"/>
        <w:jc w:val="both"/>
        <w:rPr>
          <w:b/>
        </w:rPr>
      </w:pPr>
      <w:r w:rsidRPr="009D33D1">
        <w:rPr>
          <w:b/>
        </w:rPr>
        <w:t>Smluvní strany</w:t>
      </w:r>
    </w:p>
    <w:p w:rsidR="00356044" w:rsidRPr="009D33D1" w:rsidRDefault="00356044" w:rsidP="00356044">
      <w:pPr>
        <w:spacing w:after="0"/>
        <w:jc w:val="both"/>
        <w:rPr>
          <w:b/>
        </w:rPr>
      </w:pPr>
    </w:p>
    <w:p w:rsidR="009D33D1" w:rsidRPr="009D33D1" w:rsidRDefault="009D33D1" w:rsidP="00356044">
      <w:pPr>
        <w:spacing w:after="0"/>
        <w:jc w:val="both"/>
        <w:rPr>
          <w:b/>
        </w:rPr>
      </w:pPr>
      <w:r w:rsidRPr="009D33D1">
        <w:rPr>
          <w:b/>
        </w:rPr>
        <w:t>Projektová kancelář Kraje Vysočina, příspěvková organizace</w:t>
      </w:r>
    </w:p>
    <w:p w:rsidR="009D33D1" w:rsidRPr="009D33D1" w:rsidRDefault="009D33D1" w:rsidP="00356044">
      <w:pPr>
        <w:spacing w:after="0"/>
        <w:jc w:val="both"/>
      </w:pPr>
      <w:r w:rsidRPr="009D33D1">
        <w:t>se sídlem: Žižkova 1872/89, 586 01 Jihlava</w:t>
      </w:r>
    </w:p>
    <w:p w:rsidR="009D33D1" w:rsidRPr="009D33D1" w:rsidRDefault="009D33D1" w:rsidP="00356044">
      <w:pPr>
        <w:spacing w:after="0"/>
        <w:jc w:val="both"/>
      </w:pPr>
      <w:r w:rsidRPr="009D33D1">
        <w:t>IČ: 71294376</w:t>
      </w:r>
    </w:p>
    <w:p w:rsidR="009D33D1" w:rsidRPr="009D33D1" w:rsidRDefault="009D33D1" w:rsidP="00356044">
      <w:pPr>
        <w:spacing w:after="0"/>
        <w:jc w:val="both"/>
      </w:pPr>
      <w:r w:rsidRPr="009D33D1">
        <w:t xml:space="preserve">zastoupená: Ing. Erika Šteflová, MBA, ředitelka, </w:t>
      </w:r>
    </w:p>
    <w:p w:rsidR="009D33D1" w:rsidRPr="009D33D1" w:rsidRDefault="009D33D1" w:rsidP="00356044">
      <w:pPr>
        <w:spacing w:after="0"/>
        <w:jc w:val="both"/>
      </w:pPr>
    </w:p>
    <w:p w:rsidR="009D33D1" w:rsidRPr="009D33D1" w:rsidRDefault="009D33D1" w:rsidP="00356044">
      <w:pPr>
        <w:spacing w:after="0"/>
        <w:jc w:val="both"/>
      </w:pPr>
      <w:r w:rsidRPr="009D33D1">
        <w:t xml:space="preserve">(dále jen </w:t>
      </w:r>
      <w:r w:rsidRPr="009D33D1">
        <w:rPr>
          <w:b/>
        </w:rPr>
        <w:t xml:space="preserve">„centrální zadavatel“ </w:t>
      </w:r>
      <w:r w:rsidRPr="009D33D1">
        <w:t>nebo</w:t>
      </w:r>
      <w:r w:rsidRPr="009D33D1">
        <w:rPr>
          <w:b/>
        </w:rPr>
        <w:t xml:space="preserve"> „PKKV“</w:t>
      </w:r>
      <w:r w:rsidRPr="009D33D1">
        <w:t>)</w:t>
      </w:r>
    </w:p>
    <w:p w:rsidR="009D33D1" w:rsidRPr="009D33D1" w:rsidRDefault="009D33D1" w:rsidP="00356044">
      <w:pPr>
        <w:spacing w:after="0"/>
        <w:jc w:val="both"/>
      </w:pPr>
    </w:p>
    <w:p w:rsidR="009D33D1" w:rsidRPr="009D33D1" w:rsidRDefault="009D33D1" w:rsidP="00356044">
      <w:pPr>
        <w:spacing w:after="0"/>
        <w:jc w:val="both"/>
      </w:pPr>
      <w:r w:rsidRPr="009D33D1">
        <w:t>a</w:t>
      </w:r>
    </w:p>
    <w:p w:rsidR="009D33D1" w:rsidRPr="009D33D1" w:rsidRDefault="009D33D1" w:rsidP="00356044">
      <w:pPr>
        <w:spacing w:after="0"/>
        <w:jc w:val="both"/>
      </w:pPr>
    </w:p>
    <w:p w:rsidR="009D33D1" w:rsidRPr="009D33D1" w:rsidRDefault="009D33D1" w:rsidP="00356044">
      <w:pPr>
        <w:spacing w:after="0"/>
        <w:jc w:val="both"/>
        <w:rPr>
          <w:b/>
        </w:rPr>
      </w:pPr>
      <w:r w:rsidRPr="009D33D1">
        <w:rPr>
          <w:b/>
        </w:rPr>
        <w:t>Domov Kamélie Křižanov, příspěvková organizace</w:t>
      </w:r>
    </w:p>
    <w:p w:rsidR="009D33D1" w:rsidRPr="009D33D1" w:rsidRDefault="009D33D1" w:rsidP="00356044">
      <w:pPr>
        <w:spacing w:after="0"/>
        <w:jc w:val="both"/>
      </w:pPr>
      <w:r w:rsidRPr="009D33D1">
        <w:t>se sídlem: Zámek 1, 594 51 Křižanov</w:t>
      </w:r>
    </w:p>
    <w:p w:rsidR="009D33D1" w:rsidRPr="009D33D1" w:rsidRDefault="009D33D1" w:rsidP="00356044">
      <w:pPr>
        <w:spacing w:after="0"/>
        <w:jc w:val="both"/>
      </w:pPr>
      <w:r w:rsidRPr="009D33D1">
        <w:t>IČ: 71184473</w:t>
      </w:r>
    </w:p>
    <w:p w:rsidR="009D33D1" w:rsidRPr="009D33D1" w:rsidRDefault="009D33D1" w:rsidP="00356044">
      <w:pPr>
        <w:spacing w:after="0"/>
        <w:jc w:val="both"/>
      </w:pPr>
      <w:r w:rsidRPr="009D33D1">
        <w:t>zastoupená: Mgr. Silvie Tomšíková, MBA, ředitelka,</w:t>
      </w:r>
    </w:p>
    <w:p w:rsidR="009D33D1" w:rsidRPr="009D33D1" w:rsidRDefault="009D33D1" w:rsidP="00356044">
      <w:pPr>
        <w:spacing w:after="0"/>
        <w:jc w:val="both"/>
      </w:pPr>
    </w:p>
    <w:p w:rsidR="009D33D1" w:rsidRPr="009D33D1" w:rsidRDefault="009D33D1" w:rsidP="00356044">
      <w:pPr>
        <w:spacing w:after="0"/>
        <w:jc w:val="both"/>
        <w:rPr>
          <w:b/>
        </w:rPr>
      </w:pPr>
      <w:r w:rsidRPr="009D33D1">
        <w:rPr>
          <w:b/>
        </w:rPr>
        <w:t>Domov pro seniory Mitrov, příspěvková organizace</w:t>
      </w:r>
    </w:p>
    <w:p w:rsidR="009D33D1" w:rsidRPr="009D33D1" w:rsidRDefault="009D33D1" w:rsidP="00356044">
      <w:pPr>
        <w:spacing w:after="0"/>
        <w:jc w:val="both"/>
      </w:pPr>
      <w:r w:rsidRPr="009D33D1">
        <w:t>se sídlem: Mitrov 1, 592 53 Strážek</w:t>
      </w:r>
    </w:p>
    <w:p w:rsidR="009D33D1" w:rsidRPr="009D33D1" w:rsidRDefault="009D33D1" w:rsidP="00356044">
      <w:pPr>
        <w:spacing w:after="0"/>
        <w:jc w:val="both"/>
      </w:pPr>
      <w:r w:rsidRPr="009D33D1">
        <w:t>IČ: 71184449</w:t>
      </w:r>
    </w:p>
    <w:p w:rsidR="009D33D1" w:rsidRPr="009D33D1" w:rsidRDefault="009D33D1" w:rsidP="00356044">
      <w:pPr>
        <w:spacing w:after="0"/>
        <w:jc w:val="both"/>
      </w:pPr>
      <w:r w:rsidRPr="009D33D1">
        <w:t>zastoupená: Mgr. Josef Myslivec, ředitel,</w:t>
      </w:r>
    </w:p>
    <w:p w:rsidR="009D33D1" w:rsidRPr="009D33D1" w:rsidRDefault="009D33D1" w:rsidP="00356044">
      <w:pPr>
        <w:spacing w:after="0"/>
        <w:jc w:val="both"/>
      </w:pPr>
    </w:p>
    <w:p w:rsidR="009D33D1" w:rsidRPr="009D33D1" w:rsidRDefault="009D33D1" w:rsidP="00356044">
      <w:pPr>
        <w:spacing w:after="0"/>
        <w:jc w:val="both"/>
        <w:rPr>
          <w:b/>
        </w:rPr>
      </w:pPr>
      <w:r w:rsidRPr="009D33D1">
        <w:rPr>
          <w:b/>
        </w:rPr>
        <w:t>Domov pro seniory Velké Meziříčí, příspěvková organizace</w:t>
      </w:r>
    </w:p>
    <w:p w:rsidR="009D33D1" w:rsidRPr="009D33D1" w:rsidRDefault="009D33D1" w:rsidP="00356044">
      <w:pPr>
        <w:spacing w:after="0"/>
        <w:jc w:val="both"/>
      </w:pPr>
      <w:r w:rsidRPr="009D33D1">
        <w:t>se sídlem: Zdenky Vorlové 2160, 594 01 Velké Meziříčí</w:t>
      </w:r>
    </w:p>
    <w:p w:rsidR="009D33D1" w:rsidRPr="009D33D1" w:rsidRDefault="009D33D1" w:rsidP="00356044">
      <w:pPr>
        <w:spacing w:after="0"/>
        <w:jc w:val="both"/>
      </w:pPr>
      <w:r w:rsidRPr="009D33D1">
        <w:t>IČ: 71184465</w:t>
      </w:r>
    </w:p>
    <w:p w:rsidR="009D33D1" w:rsidRPr="009D33D1" w:rsidRDefault="009D33D1" w:rsidP="00356044">
      <w:pPr>
        <w:spacing w:after="0"/>
        <w:jc w:val="both"/>
      </w:pPr>
      <w:r w:rsidRPr="009D33D1">
        <w:t>zastoupená: Mgr. Renata Horňáková, ředitelka,</w:t>
      </w:r>
    </w:p>
    <w:p w:rsidR="009D33D1" w:rsidRPr="009D33D1" w:rsidRDefault="009D33D1" w:rsidP="00356044">
      <w:pPr>
        <w:spacing w:after="0"/>
        <w:jc w:val="both"/>
      </w:pPr>
    </w:p>
    <w:p w:rsidR="009D33D1" w:rsidRPr="009D33D1" w:rsidRDefault="009D33D1" w:rsidP="00356044">
      <w:pPr>
        <w:spacing w:after="0"/>
        <w:jc w:val="both"/>
      </w:pPr>
      <w:r w:rsidRPr="009D33D1">
        <w:t>(dále jen „</w:t>
      </w:r>
      <w:r w:rsidRPr="009D33D1">
        <w:rPr>
          <w:b/>
        </w:rPr>
        <w:t xml:space="preserve">pověřující zadavatel“ </w:t>
      </w:r>
      <w:r w:rsidRPr="009D33D1">
        <w:t>nebo společně jako</w:t>
      </w:r>
      <w:r w:rsidRPr="009D33D1">
        <w:rPr>
          <w:b/>
        </w:rPr>
        <w:t xml:space="preserve"> „pověřující zadavatelé“</w:t>
      </w:r>
      <w:r w:rsidRPr="009D33D1">
        <w:t>)</w:t>
      </w:r>
    </w:p>
    <w:p w:rsidR="009D33D1" w:rsidRPr="009D33D1" w:rsidRDefault="009D33D1" w:rsidP="00356044">
      <w:pPr>
        <w:spacing w:after="0"/>
        <w:jc w:val="both"/>
      </w:pPr>
    </w:p>
    <w:p w:rsidR="009D33D1" w:rsidRPr="009D33D1" w:rsidRDefault="009D33D1" w:rsidP="00356044">
      <w:pPr>
        <w:spacing w:after="0"/>
        <w:jc w:val="both"/>
      </w:pPr>
      <w:r w:rsidRPr="009D33D1">
        <w:t>uzavírají v souladu s </w:t>
      </w:r>
      <w:proofErr w:type="spellStart"/>
      <w:r w:rsidRPr="009D33D1">
        <w:t>ust</w:t>
      </w:r>
      <w:proofErr w:type="spellEnd"/>
      <w:r w:rsidRPr="009D33D1">
        <w:t>. § 1746 odst. 2 zákona č. 89/2012 Sb., občanský zákoník (dále jen „</w:t>
      </w:r>
      <w:r w:rsidRPr="009D33D1">
        <w:rPr>
          <w:b/>
        </w:rPr>
        <w:t>občanský zákoník</w:t>
      </w:r>
      <w:r w:rsidRPr="009D33D1">
        <w:t xml:space="preserve">“), a </w:t>
      </w:r>
      <w:proofErr w:type="spellStart"/>
      <w:r w:rsidRPr="009D33D1">
        <w:t>ust</w:t>
      </w:r>
      <w:proofErr w:type="spellEnd"/>
      <w:r w:rsidRPr="009D33D1">
        <w:t>. § 9 zákona č. 134/2016 Sb., o zadávání veřejných zakázek, ve znění pozdějších předpisů (dále jen „</w:t>
      </w:r>
      <w:r w:rsidRPr="009D33D1">
        <w:rPr>
          <w:b/>
        </w:rPr>
        <w:t>zákon o zadávání veřejných zakázek</w:t>
      </w:r>
      <w:r w:rsidRPr="009D33D1">
        <w:t>“), tuto smlouvu:</w:t>
      </w:r>
    </w:p>
    <w:p w:rsidR="009D33D1" w:rsidRPr="009D33D1" w:rsidRDefault="009D33D1" w:rsidP="00356044">
      <w:pPr>
        <w:spacing w:after="0"/>
        <w:jc w:val="both"/>
        <w:rPr>
          <w:b/>
        </w:rPr>
      </w:pPr>
    </w:p>
    <w:p w:rsidR="009D33D1" w:rsidRPr="009D33D1" w:rsidRDefault="009D33D1" w:rsidP="00356044">
      <w:pPr>
        <w:spacing w:after="0"/>
        <w:jc w:val="center"/>
        <w:rPr>
          <w:b/>
        </w:rPr>
      </w:pPr>
      <w:r w:rsidRPr="009D33D1">
        <w:rPr>
          <w:b/>
        </w:rPr>
        <w:t>I.</w:t>
      </w:r>
    </w:p>
    <w:p w:rsidR="009D33D1" w:rsidRPr="009D33D1" w:rsidRDefault="009D33D1" w:rsidP="00356044">
      <w:pPr>
        <w:spacing w:after="0"/>
        <w:jc w:val="center"/>
        <w:rPr>
          <w:b/>
        </w:rPr>
      </w:pPr>
      <w:r w:rsidRPr="009D33D1">
        <w:rPr>
          <w:b/>
        </w:rPr>
        <w:t>Předmět a účel smlouvy</w:t>
      </w:r>
    </w:p>
    <w:p w:rsidR="009D33D1" w:rsidRPr="009D33D1" w:rsidRDefault="009D33D1" w:rsidP="00356044">
      <w:pPr>
        <w:spacing w:after="0"/>
        <w:jc w:val="both"/>
      </w:pPr>
    </w:p>
    <w:p w:rsidR="009D33D1" w:rsidRPr="009D33D1" w:rsidRDefault="009D33D1" w:rsidP="00356044">
      <w:pPr>
        <w:numPr>
          <w:ilvl w:val="1"/>
          <w:numId w:val="6"/>
        </w:numPr>
        <w:tabs>
          <w:tab w:val="clear" w:pos="705"/>
        </w:tabs>
        <w:spacing w:after="0"/>
        <w:ind w:left="426" w:hanging="426"/>
        <w:jc w:val="both"/>
      </w:pPr>
      <w:r w:rsidRPr="009D33D1">
        <w:t xml:space="preserve">Centrální zadavatel a pověřující zadavatelé uzavírají tuto smlouvu v souladu s § 9 zákona o zadávání veřejných zakázek za účelem centralizovaného zadávání veřejné zakázky, jejichž výsledkem bude uzavření smluv mezi </w:t>
      </w:r>
      <w:r w:rsidRPr="009D33D1">
        <w:lastRenderedPageBreak/>
        <w:t>vybraným dodavatelem a jednotlivými pověřujícími zadavateli, jejichž předmětem bude svoz a likvidace odpadu a poradenství v oblasti odpadového hospodaření.</w:t>
      </w:r>
    </w:p>
    <w:p w:rsidR="009D33D1" w:rsidRPr="009D33D1" w:rsidRDefault="009D33D1" w:rsidP="00356044">
      <w:pPr>
        <w:numPr>
          <w:ilvl w:val="1"/>
          <w:numId w:val="6"/>
        </w:numPr>
        <w:tabs>
          <w:tab w:val="clear" w:pos="705"/>
        </w:tabs>
        <w:spacing w:after="0"/>
        <w:ind w:left="426" w:hanging="426"/>
        <w:jc w:val="both"/>
      </w:pPr>
      <w:r w:rsidRPr="009D33D1">
        <w:t>Předmětem této smlouvy je úprava vzájemných práv a povinností mezi centrálním zadavatelem a pověřujícími zadavateli, a dále vznik oprávnění centrálního zadavatele ve vztahu k pověřujícímu zadavateli k výkonu zadavatelských činností ve věci zadávacího řízení na svoz a likvidaci odpadu a poradenství v oblasti odpadového hospodaření</w:t>
      </w:r>
    </w:p>
    <w:p w:rsidR="009D33D1" w:rsidRPr="009D33D1" w:rsidRDefault="009D33D1" w:rsidP="00356044">
      <w:pPr>
        <w:spacing w:after="0"/>
        <w:jc w:val="both"/>
      </w:pPr>
    </w:p>
    <w:p w:rsidR="009D33D1" w:rsidRPr="009D33D1" w:rsidRDefault="009D33D1" w:rsidP="00356044">
      <w:pPr>
        <w:spacing w:after="0"/>
        <w:jc w:val="center"/>
        <w:rPr>
          <w:b/>
        </w:rPr>
      </w:pPr>
      <w:r w:rsidRPr="009D33D1">
        <w:rPr>
          <w:b/>
        </w:rPr>
        <w:t>II.</w:t>
      </w:r>
    </w:p>
    <w:p w:rsidR="009D33D1" w:rsidRPr="009D33D1" w:rsidRDefault="009D33D1" w:rsidP="00356044">
      <w:pPr>
        <w:spacing w:after="0"/>
        <w:jc w:val="center"/>
        <w:rPr>
          <w:b/>
        </w:rPr>
      </w:pPr>
      <w:r w:rsidRPr="009D33D1">
        <w:rPr>
          <w:b/>
        </w:rPr>
        <w:t>Práva a povinnost účastníků smlouvy při centralizovaném zadávání</w:t>
      </w:r>
    </w:p>
    <w:p w:rsidR="009D33D1" w:rsidRPr="009D33D1" w:rsidRDefault="009D33D1" w:rsidP="00356044">
      <w:pPr>
        <w:spacing w:after="0"/>
        <w:jc w:val="center"/>
      </w:pPr>
    </w:p>
    <w:p w:rsidR="009D33D1" w:rsidRPr="009D33D1" w:rsidRDefault="009D33D1" w:rsidP="00356044">
      <w:pPr>
        <w:numPr>
          <w:ilvl w:val="1"/>
          <w:numId w:val="7"/>
        </w:numPr>
        <w:tabs>
          <w:tab w:val="clear" w:pos="360"/>
        </w:tabs>
        <w:spacing w:after="0"/>
        <w:ind w:left="426" w:hanging="426"/>
        <w:jc w:val="both"/>
      </w:pPr>
      <w:r w:rsidRPr="009D33D1">
        <w:t xml:space="preserve">Smluvní strany se dohodly, že PKKV bude ve smyslu </w:t>
      </w:r>
      <w:proofErr w:type="spellStart"/>
      <w:r w:rsidRPr="009D33D1">
        <w:t>ust</w:t>
      </w:r>
      <w:proofErr w:type="spellEnd"/>
      <w:r w:rsidRPr="009D33D1">
        <w:t>. § 9 zákona o zadávání veřejných zakázek plnit funkci centrálního zadavatele</w:t>
      </w:r>
      <w:r w:rsidRPr="009D33D1">
        <w:rPr>
          <w:b/>
        </w:rPr>
        <w:t xml:space="preserve">. </w:t>
      </w:r>
      <w:r w:rsidRPr="009D33D1">
        <w:t>Předmětné služby spočívají v provedení zadávacího řízení, v němž PKKV pořídí služby na účet pověřujících zadavatelů v rozsahu vymezeném zadávacími podmínkami. Za tímto účelem pověřující zadavatelé touto smlouvou pověřují PKKV jakožto centrálního zadavatele k výkonu zadavatelských činností. Centrální zadavatel bude při své zadavatelské činnosti postupovat podle zákona o zadávání veřejných zakázek</w:t>
      </w:r>
      <w:r w:rsidRPr="009D33D1">
        <w:rPr>
          <w:b/>
        </w:rPr>
        <w:t xml:space="preserve"> </w:t>
      </w:r>
      <w:r w:rsidRPr="009D33D1">
        <w:t>a</w:t>
      </w:r>
      <w:r w:rsidRPr="009D33D1">
        <w:rPr>
          <w:b/>
        </w:rPr>
        <w:t> </w:t>
      </w:r>
      <w:r w:rsidRPr="009D33D1">
        <w:t>Pravidel Rady Kraje Vysočina pro zadávání veřejných zakázek v podmínkách Kraje Vysočina a příspěvkových organizací zřizovaných Krajem Vysočina v platném znění.</w:t>
      </w:r>
    </w:p>
    <w:p w:rsidR="009D33D1" w:rsidRPr="009D33D1" w:rsidRDefault="009D33D1" w:rsidP="00356044">
      <w:pPr>
        <w:numPr>
          <w:ilvl w:val="1"/>
          <w:numId w:val="7"/>
        </w:numPr>
        <w:tabs>
          <w:tab w:val="clear" w:pos="360"/>
        </w:tabs>
        <w:spacing w:after="0"/>
        <w:ind w:left="426" w:hanging="426"/>
        <w:jc w:val="both"/>
      </w:pPr>
      <w:r w:rsidRPr="009D33D1">
        <w:t>Účastníci smlouvy berou na vědomí skutečnost, že zadavatelskou činnost ve smyslu zákona o zadávání veřejných zakázek</w:t>
      </w:r>
      <w:r w:rsidRPr="009D33D1">
        <w:rPr>
          <w:b/>
        </w:rPr>
        <w:t xml:space="preserve"> </w:t>
      </w:r>
      <w:r w:rsidRPr="009D33D1">
        <w:t xml:space="preserve">v tomto zadávacím řízení vykonává centrální zadavatel, který odpovídá za zákonný průběh zadávacího řízení a nese veškeré náklady. </w:t>
      </w:r>
    </w:p>
    <w:p w:rsidR="009D33D1" w:rsidRPr="009D33D1" w:rsidRDefault="009D33D1" w:rsidP="00356044">
      <w:pPr>
        <w:numPr>
          <w:ilvl w:val="1"/>
          <w:numId w:val="7"/>
        </w:numPr>
        <w:tabs>
          <w:tab w:val="clear" w:pos="360"/>
        </w:tabs>
        <w:spacing w:after="0"/>
        <w:ind w:left="426" w:hanging="426"/>
        <w:jc w:val="both"/>
      </w:pPr>
      <w:r w:rsidRPr="009D33D1">
        <w:t xml:space="preserve">Centrální zadavatel se zavazuje provést zejména </w:t>
      </w:r>
      <w:r w:rsidRPr="009D33D1">
        <w:rPr>
          <w:rFonts w:hint="eastAsia"/>
        </w:rPr>
        <w:t>následující</w:t>
      </w:r>
      <w:r w:rsidRPr="009D33D1">
        <w:t xml:space="preserve"> činnosti a úkony:</w:t>
      </w:r>
    </w:p>
    <w:p w:rsidR="009D33D1" w:rsidRPr="009D33D1" w:rsidRDefault="009D33D1" w:rsidP="00356044">
      <w:pPr>
        <w:numPr>
          <w:ilvl w:val="0"/>
          <w:numId w:val="8"/>
        </w:numPr>
        <w:spacing w:after="0"/>
        <w:jc w:val="both"/>
      </w:pPr>
      <w:r w:rsidRPr="009D33D1">
        <w:t>vypracování zadávací dokumentace,</w:t>
      </w:r>
    </w:p>
    <w:p w:rsidR="009D33D1" w:rsidRPr="009D33D1" w:rsidRDefault="009D33D1" w:rsidP="00356044">
      <w:pPr>
        <w:numPr>
          <w:ilvl w:val="0"/>
          <w:numId w:val="8"/>
        </w:numPr>
        <w:spacing w:after="0"/>
        <w:jc w:val="both"/>
      </w:pPr>
      <w:r w:rsidRPr="009D33D1">
        <w:t>zabezpečení oznámení zadávacího řízení v informačním systému veřejných zakázek a TED,</w:t>
      </w:r>
    </w:p>
    <w:p w:rsidR="009D33D1" w:rsidRPr="009D33D1" w:rsidRDefault="009D33D1" w:rsidP="00356044">
      <w:pPr>
        <w:numPr>
          <w:ilvl w:val="0"/>
          <w:numId w:val="8"/>
        </w:numPr>
        <w:spacing w:after="0"/>
        <w:jc w:val="both"/>
      </w:pPr>
      <w:r w:rsidRPr="009D33D1">
        <w:t xml:space="preserve">zodpovídání dotazů k zadávací dokumentaci, </w:t>
      </w:r>
    </w:p>
    <w:p w:rsidR="009D33D1" w:rsidRPr="009D33D1" w:rsidRDefault="009D33D1" w:rsidP="00356044">
      <w:pPr>
        <w:numPr>
          <w:ilvl w:val="0"/>
          <w:numId w:val="8"/>
        </w:numPr>
        <w:spacing w:after="0"/>
        <w:jc w:val="both"/>
      </w:pPr>
      <w:r w:rsidRPr="009D33D1">
        <w:t xml:space="preserve">kontrola lhůt pro podání nabídek, </w:t>
      </w:r>
    </w:p>
    <w:p w:rsidR="009D33D1" w:rsidRPr="009D33D1" w:rsidRDefault="009D33D1" w:rsidP="00356044">
      <w:pPr>
        <w:numPr>
          <w:ilvl w:val="0"/>
          <w:numId w:val="8"/>
        </w:numPr>
        <w:spacing w:after="0"/>
        <w:jc w:val="both"/>
      </w:pPr>
      <w:r w:rsidRPr="009D33D1">
        <w:t xml:space="preserve">jmenování komise, </w:t>
      </w:r>
    </w:p>
    <w:p w:rsidR="009D33D1" w:rsidRPr="009D33D1" w:rsidRDefault="009D33D1" w:rsidP="00356044">
      <w:pPr>
        <w:numPr>
          <w:ilvl w:val="0"/>
          <w:numId w:val="8"/>
        </w:numPr>
        <w:spacing w:after="0"/>
        <w:jc w:val="both"/>
      </w:pPr>
      <w:r w:rsidRPr="009D33D1">
        <w:t>otevírání nabídek,</w:t>
      </w:r>
    </w:p>
    <w:p w:rsidR="009D33D1" w:rsidRPr="009D33D1" w:rsidRDefault="009D33D1" w:rsidP="00356044">
      <w:pPr>
        <w:numPr>
          <w:ilvl w:val="0"/>
          <w:numId w:val="8"/>
        </w:numPr>
        <w:spacing w:after="0"/>
        <w:jc w:val="both"/>
      </w:pPr>
      <w:r w:rsidRPr="009D33D1">
        <w:t xml:space="preserve">jednání </w:t>
      </w:r>
      <w:r w:rsidRPr="009D33D1">
        <w:rPr>
          <w:rFonts w:hint="eastAsia"/>
        </w:rPr>
        <w:t>hodnotící</w:t>
      </w:r>
      <w:r w:rsidRPr="009D33D1">
        <w:t xml:space="preserve"> komise včetně vypracování dokumentů souvisejících se zasedáním hodnotící komise,</w:t>
      </w:r>
    </w:p>
    <w:p w:rsidR="009D33D1" w:rsidRPr="009D33D1" w:rsidRDefault="009D33D1" w:rsidP="00356044">
      <w:pPr>
        <w:numPr>
          <w:ilvl w:val="0"/>
          <w:numId w:val="8"/>
        </w:numPr>
        <w:spacing w:after="0"/>
        <w:jc w:val="both"/>
      </w:pPr>
      <w:r w:rsidRPr="009D33D1">
        <w:t xml:space="preserve">vypracování zprávy o posouzení a hodnocení nabídek, </w:t>
      </w:r>
    </w:p>
    <w:p w:rsidR="009D33D1" w:rsidRPr="009D33D1" w:rsidRDefault="009D33D1" w:rsidP="00356044">
      <w:pPr>
        <w:numPr>
          <w:ilvl w:val="0"/>
          <w:numId w:val="8"/>
        </w:numPr>
        <w:spacing w:after="0"/>
        <w:jc w:val="both"/>
      </w:pPr>
      <w:r w:rsidRPr="009D33D1">
        <w:t xml:space="preserve">rozhodnutí o přidělení veřejné zakázky a jeho rozeslání, </w:t>
      </w:r>
    </w:p>
    <w:p w:rsidR="009D33D1" w:rsidRPr="009D33D1" w:rsidRDefault="009D33D1" w:rsidP="00356044">
      <w:pPr>
        <w:numPr>
          <w:ilvl w:val="0"/>
          <w:numId w:val="8"/>
        </w:numPr>
        <w:spacing w:after="0"/>
        <w:jc w:val="both"/>
      </w:pPr>
      <w:r w:rsidRPr="009D33D1">
        <w:t xml:space="preserve">vyřízení námitek, </w:t>
      </w:r>
    </w:p>
    <w:p w:rsidR="009D33D1" w:rsidRPr="009D33D1" w:rsidRDefault="009D33D1" w:rsidP="00356044">
      <w:pPr>
        <w:numPr>
          <w:ilvl w:val="0"/>
          <w:numId w:val="8"/>
        </w:numPr>
        <w:spacing w:after="0"/>
        <w:jc w:val="both"/>
      </w:pPr>
      <w:r w:rsidRPr="009D33D1">
        <w:t xml:space="preserve">uveřejnění výsledku zadávacího řízení v informačním systému veřejných zakázek a TED, </w:t>
      </w:r>
    </w:p>
    <w:p w:rsidR="009D33D1" w:rsidRPr="009D33D1" w:rsidRDefault="009D33D1" w:rsidP="00356044">
      <w:pPr>
        <w:numPr>
          <w:ilvl w:val="0"/>
          <w:numId w:val="8"/>
        </w:numPr>
        <w:spacing w:after="0"/>
        <w:jc w:val="both"/>
      </w:pPr>
      <w:r w:rsidRPr="009D33D1">
        <w:t>archivace dokumentace v elektronickém nástroji EZAK.</w:t>
      </w:r>
    </w:p>
    <w:p w:rsidR="009D33D1" w:rsidRPr="009D33D1" w:rsidRDefault="009D33D1" w:rsidP="00356044">
      <w:pPr>
        <w:numPr>
          <w:ilvl w:val="1"/>
          <w:numId w:val="7"/>
        </w:numPr>
        <w:spacing w:after="0"/>
        <w:jc w:val="both"/>
      </w:pPr>
      <w:r w:rsidRPr="009D33D1">
        <w:t>Centrální zadavatel je povinen postupovat při plnění předmětu této smlouvy v souladu se zájmy pověřujících zadavatelů, i se zájmy svými, jakož i s odbornou péčí a v souladu s příslušnými obecně závaznými právními předpisy.</w:t>
      </w:r>
    </w:p>
    <w:p w:rsidR="009D33D1" w:rsidRPr="009D33D1" w:rsidRDefault="009D33D1" w:rsidP="00356044">
      <w:pPr>
        <w:numPr>
          <w:ilvl w:val="1"/>
          <w:numId w:val="7"/>
        </w:numPr>
        <w:spacing w:after="0"/>
        <w:jc w:val="both"/>
      </w:pPr>
      <w:r w:rsidRPr="009D33D1">
        <w:t>Pověřující zadavatelé se zavazují poskytovat centrálnímu zadavateli včasné, pravdivé, úplné a přehledné informace, jakož i poskytnout mu další nezbytnou součinnost pro řádné plnění předmětu této smlouvy.</w:t>
      </w:r>
    </w:p>
    <w:p w:rsidR="009D33D1" w:rsidRPr="009D33D1" w:rsidRDefault="009D33D1" w:rsidP="00356044">
      <w:pPr>
        <w:numPr>
          <w:ilvl w:val="1"/>
          <w:numId w:val="7"/>
        </w:numPr>
        <w:spacing w:after="0"/>
        <w:jc w:val="both"/>
      </w:pPr>
      <w:r w:rsidRPr="009D33D1">
        <w:t>Smlouvy na plnění veřejné zakázky budou uzavřeny samostatně pověřujícími zadavateli na jejich účet.</w:t>
      </w:r>
    </w:p>
    <w:p w:rsidR="00C270FF" w:rsidRDefault="00C270FF" w:rsidP="00356044">
      <w:pPr>
        <w:spacing w:after="0"/>
        <w:jc w:val="both"/>
      </w:pPr>
    </w:p>
    <w:p w:rsidR="00C270FF" w:rsidRDefault="00C270FF" w:rsidP="00356044">
      <w:pPr>
        <w:spacing w:after="0"/>
        <w:jc w:val="both"/>
      </w:pPr>
    </w:p>
    <w:p w:rsidR="00C270FF" w:rsidRPr="009D33D1" w:rsidRDefault="00C270FF" w:rsidP="00356044">
      <w:pPr>
        <w:spacing w:after="0"/>
        <w:jc w:val="both"/>
      </w:pPr>
    </w:p>
    <w:p w:rsidR="009D33D1" w:rsidRPr="009D33D1" w:rsidRDefault="009D33D1" w:rsidP="00356044">
      <w:pPr>
        <w:spacing w:after="0"/>
        <w:jc w:val="center"/>
        <w:rPr>
          <w:b/>
          <w:bCs/>
        </w:rPr>
      </w:pPr>
      <w:r w:rsidRPr="009D33D1">
        <w:rPr>
          <w:b/>
          <w:bCs/>
        </w:rPr>
        <w:lastRenderedPageBreak/>
        <w:t>III.</w:t>
      </w:r>
    </w:p>
    <w:p w:rsidR="009D33D1" w:rsidRPr="009D33D1" w:rsidRDefault="009D33D1" w:rsidP="00356044">
      <w:pPr>
        <w:spacing w:after="0"/>
        <w:jc w:val="center"/>
        <w:rPr>
          <w:b/>
          <w:bCs/>
        </w:rPr>
      </w:pPr>
      <w:r w:rsidRPr="009D33D1">
        <w:rPr>
          <w:b/>
          <w:bCs/>
        </w:rPr>
        <w:t>Odpovědnost za zadání veřejné zakázky</w:t>
      </w:r>
    </w:p>
    <w:p w:rsidR="009D33D1" w:rsidRPr="009D33D1" w:rsidRDefault="009D33D1" w:rsidP="00356044">
      <w:pPr>
        <w:spacing w:after="0"/>
        <w:jc w:val="both"/>
      </w:pPr>
    </w:p>
    <w:p w:rsidR="009D33D1" w:rsidRPr="009D33D1" w:rsidRDefault="009D33D1" w:rsidP="00356044">
      <w:pPr>
        <w:spacing w:after="0"/>
        <w:ind w:left="426" w:hanging="426"/>
        <w:jc w:val="both"/>
      </w:pPr>
      <w:proofErr w:type="gramStart"/>
      <w:r w:rsidRPr="009D33D1">
        <w:t>3.1</w:t>
      </w:r>
      <w:proofErr w:type="gramEnd"/>
      <w:r w:rsidRPr="009D33D1">
        <w:t>.</w:t>
      </w:r>
      <w:r w:rsidRPr="009D33D1">
        <w:tab/>
        <w:t xml:space="preserve">Okamžikem podepsání této smlouvy účastníky smlouvy přechází odpovědnost za zákonnost provedeného zadávacího řízení na centrálního zadavatele. Ten se může své odpovědnosti zprostit pouze v případě, kdy prokáže, že k porušení zákona při zadávání veřejné zakázky v rámci centralizovaného zadávání došlo na základě jednání nebo opomenutí některého z pověřujících zadavatelů. Takovým jednáním může být zejména nedostatek informací či součinnosti ze strany pověřujícího zadavatele v rozporu s touto smlouvou. </w:t>
      </w:r>
    </w:p>
    <w:p w:rsidR="009D33D1" w:rsidRPr="009D33D1" w:rsidRDefault="009D33D1" w:rsidP="00356044">
      <w:pPr>
        <w:spacing w:after="0"/>
        <w:ind w:left="426" w:hanging="426"/>
        <w:jc w:val="both"/>
      </w:pPr>
      <w:r w:rsidRPr="009D33D1">
        <w:t>3.2</w:t>
      </w:r>
      <w:r w:rsidRPr="009D33D1">
        <w:tab/>
        <w:t>Za postup při uzavření smlouvy na realizaci veřejné zakázky, jakož i výkon práv a povinností z této smlouvy odpovídá pověřující zadavatel, který uvedenou smlouvu na základě výsledku zadávacího řízení provedeného centrálním zadavatelem uzavře.</w:t>
      </w:r>
    </w:p>
    <w:p w:rsidR="009D33D1" w:rsidRPr="009D33D1" w:rsidRDefault="009D33D1" w:rsidP="00356044">
      <w:pPr>
        <w:spacing w:after="0"/>
        <w:jc w:val="both"/>
      </w:pPr>
    </w:p>
    <w:p w:rsidR="009D33D1" w:rsidRPr="00C270FF" w:rsidRDefault="009D33D1" w:rsidP="00356044">
      <w:pPr>
        <w:spacing w:after="0"/>
        <w:jc w:val="center"/>
        <w:rPr>
          <w:b/>
        </w:rPr>
      </w:pPr>
      <w:r w:rsidRPr="00C270FF">
        <w:rPr>
          <w:b/>
        </w:rPr>
        <w:t>IV.</w:t>
      </w:r>
    </w:p>
    <w:p w:rsidR="009D33D1" w:rsidRDefault="009D33D1" w:rsidP="00356044">
      <w:pPr>
        <w:spacing w:after="0"/>
        <w:jc w:val="center"/>
        <w:rPr>
          <w:b/>
        </w:rPr>
      </w:pPr>
      <w:r w:rsidRPr="009D33D1">
        <w:rPr>
          <w:b/>
        </w:rPr>
        <w:t>Ochrana důvěrných informací</w:t>
      </w:r>
    </w:p>
    <w:p w:rsidR="00356044" w:rsidRPr="009D33D1" w:rsidRDefault="00356044" w:rsidP="00356044">
      <w:pPr>
        <w:spacing w:after="0"/>
        <w:jc w:val="center"/>
      </w:pPr>
    </w:p>
    <w:p w:rsidR="009D33D1" w:rsidRDefault="009D33D1" w:rsidP="00356044">
      <w:pPr>
        <w:numPr>
          <w:ilvl w:val="1"/>
          <w:numId w:val="11"/>
        </w:numPr>
        <w:spacing w:after="0"/>
        <w:ind w:left="426"/>
        <w:jc w:val="both"/>
      </w:pPr>
      <w:r w:rsidRPr="009D33D1">
        <w:t xml:space="preserve">Informacemi, se pro účely této smlouvy rozumí jakékoliv informace zpracovávané pověřujícími zadavateli či jakákoliv data, která jsou pořízena, uložena, zpracovávána, přenášena, nebo se kterými je jiným způsobem manipulováno v rámci informačních aktiv pověřujících zadavatelů. Informačními aktivy se pro účely této smlouvy míní hardwarové, softwarové či jiné programové prostředky ICT infrastruktury, informační systémy, přenosná paměťová média a mobilní zařízení. </w:t>
      </w:r>
    </w:p>
    <w:p w:rsidR="009D33D1" w:rsidRDefault="009D33D1" w:rsidP="00356044">
      <w:pPr>
        <w:numPr>
          <w:ilvl w:val="1"/>
          <w:numId w:val="11"/>
        </w:numPr>
        <w:spacing w:after="0"/>
        <w:ind w:left="426"/>
        <w:jc w:val="both"/>
      </w:pPr>
      <w:r w:rsidRPr="009D33D1">
        <w:t>Centrální zadavatel je povinen zachovávat mlčenlivost o všech skutečnostech</w:t>
      </w:r>
      <w:r w:rsidR="00356044">
        <w:t xml:space="preserve"> a informacích, které mu byly v </w:t>
      </w:r>
      <w:r w:rsidRPr="009D33D1">
        <w:t xml:space="preserve">souvislosti s touto smlouvou nebo jejím plněním jakkoliv zpřístupněny, předány či sděleny, nebo o nichž se jakkoliv dozvěděl, vyjma těch, které jsou v okamžiku, kdy se s nimi seznámil, prokazatelně veřejně přístupné nebo těch, které se bez jeho zavinění veřejně přístupnými stanou (dále jen „důvěrné informace“). </w:t>
      </w:r>
    </w:p>
    <w:p w:rsidR="009D33D1" w:rsidRDefault="009D33D1" w:rsidP="00356044">
      <w:pPr>
        <w:numPr>
          <w:ilvl w:val="1"/>
          <w:numId w:val="11"/>
        </w:numPr>
        <w:spacing w:after="0"/>
        <w:ind w:left="426"/>
        <w:jc w:val="both"/>
      </w:pPr>
      <w:r w:rsidRPr="009D33D1">
        <w:t xml:space="preserve">Centrální zadavatel nesmí důvěrné informace použít v rozporu s jejich účelem, nesmí je použít ve prospěch svůj nebo třetích osob a nesmí je použít ani v neprospěch pověřujících zadavatelů. Zavazuje se učinit veškerá opatření a vyvinout maximální úsilí k ochraně důvěrných informací před jejich získáním nebo použitím třetí osobou. Povinnosti dle tohoto odstavce je centrální zadavatel povinen zachovávat i po zániku této smlouvy, vyjma případů, kdy se důvěrné informace stanou prokazatelně veřejně přístupné bez jeho zavinění. </w:t>
      </w:r>
    </w:p>
    <w:p w:rsidR="009D33D1" w:rsidRDefault="009D33D1" w:rsidP="00356044">
      <w:pPr>
        <w:numPr>
          <w:ilvl w:val="1"/>
          <w:numId w:val="11"/>
        </w:numPr>
        <w:spacing w:after="0"/>
        <w:ind w:left="426"/>
        <w:jc w:val="both"/>
      </w:pPr>
      <w:r w:rsidRPr="009D33D1">
        <w:t xml:space="preserve">Centrální zadavatel je povinen vyžádat si předchozí souhlas pověřujících zadavatelů k zpřístupnění informací nebo informačních aktiv podle této smlouvy svým subdodavatelům. </w:t>
      </w:r>
    </w:p>
    <w:p w:rsidR="009D33D1" w:rsidRPr="009D33D1" w:rsidRDefault="009D33D1" w:rsidP="00356044">
      <w:pPr>
        <w:numPr>
          <w:ilvl w:val="1"/>
          <w:numId w:val="11"/>
        </w:numPr>
        <w:spacing w:after="0"/>
        <w:ind w:left="426"/>
        <w:jc w:val="both"/>
      </w:pPr>
      <w:r w:rsidRPr="009D33D1">
        <w:t>Centrální zadavatel odpovídá za škodu, kterou způsobí porušením povinnosti mlčenlivosti podle tohoto článku smlouvy a za škody na informačních aktivech pověřujících zadavatelů, které prokazatelně způsobili jeho zaměstnanci.</w:t>
      </w:r>
    </w:p>
    <w:p w:rsidR="00C270FF" w:rsidRPr="009D33D1" w:rsidRDefault="00C270FF" w:rsidP="00356044">
      <w:pPr>
        <w:spacing w:after="0"/>
        <w:jc w:val="both"/>
        <w:rPr>
          <w:b/>
        </w:rPr>
      </w:pPr>
    </w:p>
    <w:p w:rsidR="009D33D1" w:rsidRPr="009D33D1" w:rsidRDefault="009D33D1" w:rsidP="00356044">
      <w:pPr>
        <w:spacing w:after="0"/>
        <w:jc w:val="center"/>
        <w:rPr>
          <w:b/>
        </w:rPr>
      </w:pPr>
      <w:r w:rsidRPr="009D33D1">
        <w:rPr>
          <w:b/>
        </w:rPr>
        <w:t>V.</w:t>
      </w:r>
    </w:p>
    <w:p w:rsidR="009D33D1" w:rsidRPr="009D33D1" w:rsidRDefault="009D33D1" w:rsidP="00356044">
      <w:pPr>
        <w:spacing w:after="0"/>
        <w:jc w:val="center"/>
        <w:rPr>
          <w:b/>
        </w:rPr>
      </w:pPr>
      <w:r w:rsidRPr="009D33D1">
        <w:rPr>
          <w:b/>
        </w:rPr>
        <w:t>Kompenzace nákladů na zadávání</w:t>
      </w:r>
    </w:p>
    <w:p w:rsidR="009D33D1" w:rsidRPr="009D33D1" w:rsidRDefault="009D33D1" w:rsidP="00356044">
      <w:pPr>
        <w:spacing w:after="0"/>
        <w:jc w:val="both"/>
        <w:rPr>
          <w:b/>
        </w:rPr>
      </w:pPr>
    </w:p>
    <w:p w:rsidR="009D33D1" w:rsidRPr="009D33D1" w:rsidRDefault="009D33D1" w:rsidP="00356044">
      <w:pPr>
        <w:numPr>
          <w:ilvl w:val="1"/>
          <w:numId w:val="10"/>
        </w:numPr>
        <w:tabs>
          <w:tab w:val="clear" w:pos="705"/>
        </w:tabs>
        <w:spacing w:after="0"/>
        <w:ind w:left="426" w:hanging="426"/>
        <w:jc w:val="both"/>
      </w:pPr>
      <w:r w:rsidRPr="009D33D1">
        <w:t xml:space="preserve">Veškeré náklady spojené s realizací zadávacích řízení formou centralizovaného zadání veřejné zakázky dle této smlouvy ponese PKKV jako centrální zadavatel. </w:t>
      </w:r>
    </w:p>
    <w:p w:rsidR="009D33D1" w:rsidRDefault="009D33D1" w:rsidP="00356044">
      <w:pPr>
        <w:spacing w:after="0"/>
        <w:jc w:val="both"/>
        <w:rPr>
          <w:b/>
        </w:rPr>
      </w:pPr>
    </w:p>
    <w:p w:rsidR="00C270FF" w:rsidRDefault="00C270FF" w:rsidP="00356044">
      <w:pPr>
        <w:spacing w:after="0"/>
        <w:jc w:val="both"/>
        <w:rPr>
          <w:b/>
        </w:rPr>
      </w:pPr>
    </w:p>
    <w:p w:rsidR="00C270FF" w:rsidRDefault="00C270FF" w:rsidP="00356044">
      <w:pPr>
        <w:spacing w:after="0"/>
        <w:jc w:val="both"/>
        <w:rPr>
          <w:b/>
        </w:rPr>
      </w:pPr>
    </w:p>
    <w:p w:rsidR="00C270FF" w:rsidRPr="009D33D1" w:rsidRDefault="00C270FF" w:rsidP="00356044">
      <w:pPr>
        <w:spacing w:after="0"/>
        <w:jc w:val="both"/>
        <w:rPr>
          <w:b/>
        </w:rPr>
      </w:pPr>
    </w:p>
    <w:p w:rsidR="009D33D1" w:rsidRPr="009D33D1" w:rsidRDefault="009D33D1" w:rsidP="00356044">
      <w:pPr>
        <w:spacing w:after="0"/>
        <w:jc w:val="center"/>
        <w:rPr>
          <w:b/>
        </w:rPr>
      </w:pPr>
      <w:r w:rsidRPr="009D33D1">
        <w:rPr>
          <w:b/>
        </w:rPr>
        <w:lastRenderedPageBreak/>
        <w:t>V</w:t>
      </w:r>
      <w:r w:rsidR="00356044">
        <w:rPr>
          <w:b/>
        </w:rPr>
        <w:t>I</w:t>
      </w:r>
      <w:r w:rsidRPr="009D33D1">
        <w:rPr>
          <w:b/>
        </w:rPr>
        <w:t>.</w:t>
      </w:r>
    </w:p>
    <w:p w:rsidR="009D33D1" w:rsidRPr="009D33D1" w:rsidRDefault="009D33D1" w:rsidP="00356044">
      <w:pPr>
        <w:spacing w:after="0"/>
        <w:jc w:val="center"/>
        <w:rPr>
          <w:b/>
        </w:rPr>
      </w:pPr>
      <w:r w:rsidRPr="009D33D1">
        <w:rPr>
          <w:b/>
        </w:rPr>
        <w:t>Platnost a účinnost smlouvy</w:t>
      </w:r>
    </w:p>
    <w:p w:rsidR="009D33D1" w:rsidRPr="009D33D1" w:rsidRDefault="009D33D1" w:rsidP="00356044">
      <w:pPr>
        <w:spacing w:after="0"/>
        <w:jc w:val="both"/>
        <w:rPr>
          <w:b/>
        </w:rPr>
      </w:pPr>
    </w:p>
    <w:p w:rsidR="009D33D1" w:rsidRPr="009D33D1" w:rsidRDefault="009D33D1" w:rsidP="00356044">
      <w:pPr>
        <w:pStyle w:val="Odstavecseseznamem"/>
        <w:numPr>
          <w:ilvl w:val="1"/>
          <w:numId w:val="13"/>
        </w:numPr>
        <w:spacing w:after="0"/>
        <w:ind w:left="426"/>
        <w:jc w:val="both"/>
      </w:pPr>
      <w:r w:rsidRPr="009D33D1">
        <w:t xml:space="preserve">Tato smlouva nabývá platnosti dnem podpisu posledním zástupcem smluvních stran a účinnosti okamžikem zveřejnění v registru smluv. Zveřejnění zajistí centrální zadavatel. </w:t>
      </w:r>
    </w:p>
    <w:p w:rsidR="009D33D1" w:rsidRPr="009D33D1" w:rsidRDefault="009D33D1" w:rsidP="00356044">
      <w:pPr>
        <w:pStyle w:val="Odstavecseseznamem"/>
        <w:numPr>
          <w:ilvl w:val="1"/>
          <w:numId w:val="13"/>
        </w:numPr>
        <w:spacing w:after="0"/>
        <w:ind w:left="426"/>
        <w:jc w:val="both"/>
      </w:pPr>
      <w:r w:rsidRPr="009D33D1">
        <w:t xml:space="preserve">Smlouva se uzavírá na dobu určitou, a to do doby uzavření smluv na realizaci veřejné zakázky s vybraným dodavatelem a splnění všech povinností centrálního zadavatele spojených s administrací zadávacího řízení dle zákona o zadávání veřejných zakázek. </w:t>
      </w:r>
    </w:p>
    <w:p w:rsidR="009D33D1" w:rsidRPr="009D33D1" w:rsidRDefault="009D33D1" w:rsidP="00356044">
      <w:pPr>
        <w:spacing w:after="0"/>
        <w:jc w:val="both"/>
        <w:rPr>
          <w:b/>
        </w:rPr>
      </w:pPr>
    </w:p>
    <w:p w:rsidR="009D33D1" w:rsidRPr="009D33D1" w:rsidRDefault="009D33D1" w:rsidP="00356044">
      <w:pPr>
        <w:spacing w:after="0"/>
        <w:jc w:val="center"/>
        <w:rPr>
          <w:b/>
        </w:rPr>
      </w:pPr>
      <w:r w:rsidRPr="009D33D1">
        <w:rPr>
          <w:b/>
        </w:rPr>
        <w:t>VI</w:t>
      </w:r>
      <w:r w:rsidR="00356044">
        <w:rPr>
          <w:b/>
        </w:rPr>
        <w:t>I</w:t>
      </w:r>
      <w:r w:rsidRPr="009D33D1">
        <w:rPr>
          <w:b/>
        </w:rPr>
        <w:t>.</w:t>
      </w:r>
    </w:p>
    <w:p w:rsidR="009D33D1" w:rsidRPr="009D33D1" w:rsidRDefault="009D33D1" w:rsidP="00356044">
      <w:pPr>
        <w:spacing w:after="0"/>
        <w:jc w:val="center"/>
        <w:rPr>
          <w:b/>
        </w:rPr>
      </w:pPr>
      <w:r w:rsidRPr="009D33D1">
        <w:rPr>
          <w:b/>
        </w:rPr>
        <w:t>Závěrečná ustanovení</w:t>
      </w:r>
    </w:p>
    <w:p w:rsidR="009D33D1" w:rsidRPr="009D33D1" w:rsidRDefault="009D33D1" w:rsidP="00356044">
      <w:pPr>
        <w:spacing w:after="0"/>
        <w:jc w:val="both"/>
        <w:rPr>
          <w:b/>
        </w:rPr>
      </w:pPr>
    </w:p>
    <w:p w:rsidR="009D33D1" w:rsidRPr="009D33D1" w:rsidRDefault="009D33D1" w:rsidP="00356044">
      <w:pPr>
        <w:pStyle w:val="Odstavecseseznamem"/>
        <w:numPr>
          <w:ilvl w:val="1"/>
          <w:numId w:val="14"/>
        </w:numPr>
        <w:spacing w:after="0"/>
        <w:ind w:left="426"/>
        <w:jc w:val="both"/>
      </w:pPr>
      <w:r w:rsidRPr="009D33D1">
        <w:t xml:space="preserve">Jakékoliv změny a dodatky této smlouvy jsou platné a účinné jen na základě písemných oboustranně odsouhlasených dodatků podepsaných smluvními stranami. </w:t>
      </w:r>
    </w:p>
    <w:p w:rsidR="009D33D1" w:rsidRPr="009D33D1" w:rsidRDefault="009D33D1" w:rsidP="00356044">
      <w:pPr>
        <w:pStyle w:val="Odstavecseseznamem"/>
        <w:numPr>
          <w:ilvl w:val="1"/>
          <w:numId w:val="14"/>
        </w:numPr>
        <w:spacing w:after="0"/>
        <w:ind w:left="426"/>
        <w:jc w:val="both"/>
      </w:pPr>
      <w:r w:rsidRPr="009D33D1">
        <w:t>Každá ze smluvních stran obdrží jedno vyhotovení smlouvy.</w:t>
      </w:r>
    </w:p>
    <w:p w:rsidR="009D33D1" w:rsidRPr="009D33D1" w:rsidRDefault="009D33D1" w:rsidP="00356044">
      <w:pPr>
        <w:pStyle w:val="Odstavecseseznamem"/>
        <w:numPr>
          <w:ilvl w:val="1"/>
          <w:numId w:val="14"/>
        </w:numPr>
        <w:spacing w:after="0"/>
        <w:ind w:left="426"/>
        <w:jc w:val="both"/>
      </w:pPr>
      <w:r w:rsidRPr="009D33D1">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rsidR="009D33D1" w:rsidRPr="009D33D1" w:rsidRDefault="009D33D1" w:rsidP="00356044">
      <w:pPr>
        <w:pStyle w:val="Odstavecseseznamem"/>
        <w:numPr>
          <w:ilvl w:val="1"/>
          <w:numId w:val="14"/>
        </w:numPr>
        <w:spacing w:after="0"/>
        <w:ind w:left="426"/>
        <w:jc w:val="both"/>
      </w:pPr>
      <w:r w:rsidRPr="009D33D1">
        <w:t>Smluvní strany prohlašují, že se důkladně seznámily s celým textem této smlouvy a nemají vůči němu žádných výhrad a že tato smlouva vyjadřuje skutečnou, svobodnou a vážně míněnou vůli stran a že nebyla ujednána v tísni či za nevýhodných podmínek pro žádnou z nich.</w:t>
      </w:r>
    </w:p>
    <w:p w:rsidR="00356044" w:rsidRDefault="00356044" w:rsidP="00356044">
      <w:pPr>
        <w:spacing w:after="0"/>
        <w:jc w:val="both"/>
        <w:rPr>
          <w:b/>
        </w:rPr>
      </w:pPr>
    </w:p>
    <w:p w:rsidR="00924267" w:rsidRPr="009D33D1" w:rsidRDefault="00924267" w:rsidP="00356044">
      <w:pPr>
        <w:spacing w:after="0"/>
        <w:jc w:val="both"/>
        <w:rPr>
          <w:b/>
        </w:rPr>
      </w:pPr>
    </w:p>
    <w:p w:rsidR="009D33D1" w:rsidRPr="009D33D1" w:rsidRDefault="009D33D1" w:rsidP="00356044">
      <w:pPr>
        <w:spacing w:after="0"/>
        <w:jc w:val="both"/>
        <w:rPr>
          <w:b/>
        </w:rPr>
      </w:pPr>
      <w:r w:rsidRPr="009D33D1">
        <w:rPr>
          <w:b/>
        </w:rPr>
        <w:t>Za centrálního zadavatele:</w:t>
      </w:r>
    </w:p>
    <w:p w:rsidR="009D33D1" w:rsidRPr="009D33D1" w:rsidRDefault="009D33D1" w:rsidP="00356044">
      <w:pPr>
        <w:spacing w:after="0"/>
        <w:jc w:val="both"/>
        <w:rPr>
          <w:b/>
        </w:rPr>
      </w:pPr>
    </w:p>
    <w:p w:rsidR="009D33D1" w:rsidRPr="009D33D1" w:rsidRDefault="009D33D1" w:rsidP="00356044">
      <w:pPr>
        <w:spacing w:after="0"/>
        <w:jc w:val="both"/>
      </w:pPr>
      <w:r w:rsidRPr="009D33D1">
        <w:t>Projektová kancelář Kraje Vysočina, příspěvková organizace:</w:t>
      </w:r>
    </w:p>
    <w:p w:rsidR="009D33D1" w:rsidRPr="009D33D1" w:rsidRDefault="009D33D1" w:rsidP="00356044">
      <w:pPr>
        <w:spacing w:after="0"/>
        <w:jc w:val="both"/>
        <w:rPr>
          <w:b/>
        </w:rPr>
      </w:pPr>
    </w:p>
    <w:p w:rsidR="009D33D1" w:rsidRPr="009D33D1" w:rsidRDefault="009D33D1" w:rsidP="00356044">
      <w:pPr>
        <w:spacing w:after="0"/>
        <w:jc w:val="both"/>
        <w:rPr>
          <w:b/>
        </w:rPr>
      </w:pPr>
    </w:p>
    <w:p w:rsidR="009D33D1" w:rsidRPr="009D33D1" w:rsidRDefault="009D33D1" w:rsidP="00356044">
      <w:pPr>
        <w:spacing w:after="0"/>
        <w:jc w:val="both"/>
        <w:rPr>
          <w:b/>
        </w:rPr>
      </w:pPr>
    </w:p>
    <w:p w:rsidR="009D33D1" w:rsidRPr="009D33D1" w:rsidRDefault="009D33D1" w:rsidP="00356044">
      <w:pPr>
        <w:spacing w:after="0"/>
        <w:jc w:val="both"/>
        <w:rPr>
          <w:bCs/>
        </w:rPr>
      </w:pPr>
      <w:r w:rsidRPr="009D33D1">
        <w:rPr>
          <w:bCs/>
        </w:rPr>
        <w:t>……………………………….</w:t>
      </w:r>
    </w:p>
    <w:p w:rsidR="009D33D1" w:rsidRPr="009D33D1" w:rsidRDefault="009D33D1" w:rsidP="00356044">
      <w:pPr>
        <w:spacing w:after="0"/>
        <w:jc w:val="both"/>
        <w:rPr>
          <w:bCs/>
        </w:rPr>
      </w:pPr>
      <w:r w:rsidRPr="009D33D1">
        <w:rPr>
          <w:bCs/>
        </w:rPr>
        <w:t xml:space="preserve">Ing. Erika Šteflová, MBA </w:t>
      </w:r>
    </w:p>
    <w:p w:rsidR="009D33D1" w:rsidRPr="009D33D1" w:rsidRDefault="009D33D1" w:rsidP="00356044">
      <w:pPr>
        <w:spacing w:after="0"/>
        <w:jc w:val="both"/>
        <w:rPr>
          <w:bCs/>
        </w:rPr>
      </w:pPr>
      <w:r w:rsidRPr="009D33D1">
        <w:rPr>
          <w:bCs/>
        </w:rPr>
        <w:t>ředitelka</w:t>
      </w:r>
      <w:r w:rsidRPr="009D33D1">
        <w:rPr>
          <w:bCs/>
        </w:rPr>
        <w:tab/>
      </w:r>
    </w:p>
    <w:p w:rsidR="00924267" w:rsidRDefault="00924267" w:rsidP="00356044">
      <w:pPr>
        <w:spacing w:after="0"/>
        <w:jc w:val="both"/>
        <w:rPr>
          <w:bCs/>
        </w:rPr>
      </w:pPr>
      <w:r>
        <w:rPr>
          <w:bCs/>
        </w:rPr>
        <w:t>(podepsáno elektronicky</w:t>
      </w:r>
      <w:r w:rsidR="005A2A46">
        <w:rPr>
          <w:bCs/>
        </w:rPr>
        <w:t xml:space="preserve"> dne 24. 11. 2022</w:t>
      </w:r>
      <w:r>
        <w:rPr>
          <w:bCs/>
        </w:rPr>
        <w:t>)</w:t>
      </w:r>
    </w:p>
    <w:p w:rsidR="00924267" w:rsidRDefault="00924267" w:rsidP="00356044">
      <w:pPr>
        <w:spacing w:after="0"/>
        <w:jc w:val="both"/>
        <w:rPr>
          <w:bCs/>
        </w:rPr>
      </w:pPr>
    </w:p>
    <w:p w:rsidR="00924267" w:rsidRDefault="00924267" w:rsidP="00356044">
      <w:pPr>
        <w:spacing w:after="0"/>
        <w:jc w:val="both"/>
        <w:rPr>
          <w:bCs/>
        </w:rPr>
      </w:pPr>
    </w:p>
    <w:p w:rsidR="00924267" w:rsidRDefault="00924267" w:rsidP="00356044">
      <w:pPr>
        <w:spacing w:after="0"/>
        <w:jc w:val="both"/>
        <w:rPr>
          <w:bCs/>
        </w:rPr>
      </w:pPr>
    </w:p>
    <w:p w:rsidR="00924267" w:rsidRDefault="00924267" w:rsidP="00356044">
      <w:pPr>
        <w:spacing w:after="0"/>
        <w:jc w:val="both"/>
        <w:rPr>
          <w:bCs/>
        </w:rPr>
      </w:pPr>
    </w:p>
    <w:p w:rsidR="00924267" w:rsidRDefault="00924267" w:rsidP="00356044">
      <w:pPr>
        <w:spacing w:after="0"/>
        <w:jc w:val="both"/>
        <w:rPr>
          <w:bCs/>
        </w:rPr>
      </w:pPr>
    </w:p>
    <w:p w:rsidR="00924267" w:rsidRDefault="00924267" w:rsidP="00356044">
      <w:pPr>
        <w:spacing w:after="0"/>
        <w:jc w:val="both"/>
        <w:rPr>
          <w:bCs/>
        </w:rPr>
      </w:pPr>
    </w:p>
    <w:p w:rsidR="00924267" w:rsidRDefault="00924267" w:rsidP="00356044">
      <w:pPr>
        <w:spacing w:after="0"/>
        <w:jc w:val="both"/>
        <w:rPr>
          <w:bCs/>
        </w:rPr>
      </w:pPr>
    </w:p>
    <w:p w:rsidR="00924267" w:rsidRPr="009D33D1" w:rsidRDefault="00924267" w:rsidP="00356044">
      <w:pPr>
        <w:spacing w:after="0"/>
        <w:jc w:val="both"/>
        <w:rPr>
          <w:bCs/>
        </w:rPr>
      </w:pPr>
    </w:p>
    <w:p w:rsidR="009D33D1" w:rsidRPr="009D33D1" w:rsidRDefault="009D33D1" w:rsidP="00356044">
      <w:pPr>
        <w:spacing w:after="0"/>
        <w:jc w:val="both"/>
        <w:rPr>
          <w:b/>
          <w:bCs/>
        </w:rPr>
      </w:pPr>
      <w:r w:rsidRPr="009D33D1">
        <w:rPr>
          <w:b/>
          <w:bCs/>
        </w:rPr>
        <w:lastRenderedPageBreak/>
        <w:t>Za pověřující zadavatele:</w:t>
      </w:r>
    </w:p>
    <w:p w:rsidR="009D33D1" w:rsidRPr="009D33D1" w:rsidRDefault="009D33D1" w:rsidP="00356044">
      <w:pPr>
        <w:spacing w:after="0"/>
        <w:jc w:val="both"/>
        <w:rPr>
          <w:b/>
          <w:bCs/>
        </w:rPr>
      </w:pPr>
    </w:p>
    <w:p w:rsidR="009D33D1" w:rsidRPr="009D33D1" w:rsidRDefault="009D33D1" w:rsidP="00356044">
      <w:pPr>
        <w:spacing w:after="0"/>
        <w:jc w:val="both"/>
        <w:rPr>
          <w:bCs/>
        </w:rPr>
      </w:pPr>
      <w:r w:rsidRPr="009D33D1">
        <w:rPr>
          <w:bCs/>
        </w:rPr>
        <w:t>Domov Kamélie Křižanov, příspěvková organizace</w:t>
      </w:r>
    </w:p>
    <w:p w:rsidR="009D33D1" w:rsidRPr="009D33D1" w:rsidRDefault="009D33D1" w:rsidP="00356044">
      <w:pPr>
        <w:spacing w:after="0"/>
        <w:jc w:val="both"/>
        <w:rPr>
          <w:b/>
          <w:bCs/>
        </w:rPr>
      </w:pPr>
    </w:p>
    <w:p w:rsidR="009D33D1" w:rsidRPr="009D33D1" w:rsidRDefault="009D33D1" w:rsidP="00356044">
      <w:pPr>
        <w:spacing w:after="0"/>
        <w:jc w:val="both"/>
        <w:rPr>
          <w:b/>
          <w:bCs/>
        </w:rPr>
      </w:pPr>
    </w:p>
    <w:p w:rsidR="009D33D1" w:rsidRPr="009D33D1" w:rsidRDefault="009D33D1" w:rsidP="00356044">
      <w:pPr>
        <w:spacing w:after="0"/>
        <w:jc w:val="both"/>
        <w:rPr>
          <w:b/>
          <w:bCs/>
        </w:rPr>
      </w:pPr>
    </w:p>
    <w:p w:rsidR="009D33D1" w:rsidRPr="009D33D1" w:rsidRDefault="009D33D1" w:rsidP="00356044">
      <w:pPr>
        <w:spacing w:after="0"/>
        <w:jc w:val="both"/>
        <w:rPr>
          <w:bCs/>
        </w:rPr>
      </w:pPr>
      <w:r w:rsidRPr="009D33D1">
        <w:rPr>
          <w:bCs/>
        </w:rPr>
        <w:t>……………………………….</w:t>
      </w:r>
    </w:p>
    <w:p w:rsidR="00924267" w:rsidRDefault="009D33D1" w:rsidP="00356044">
      <w:pPr>
        <w:spacing w:after="0"/>
        <w:jc w:val="both"/>
        <w:rPr>
          <w:bCs/>
        </w:rPr>
      </w:pPr>
      <w:r w:rsidRPr="009D33D1">
        <w:rPr>
          <w:bCs/>
        </w:rPr>
        <w:t>Mgr. Silvie Tomšíková, MBA</w:t>
      </w:r>
    </w:p>
    <w:p w:rsidR="009D33D1" w:rsidRPr="009D33D1" w:rsidRDefault="009D33D1" w:rsidP="00356044">
      <w:pPr>
        <w:spacing w:after="0"/>
        <w:jc w:val="both"/>
        <w:rPr>
          <w:bCs/>
        </w:rPr>
      </w:pPr>
      <w:r w:rsidRPr="009D33D1">
        <w:rPr>
          <w:bCs/>
        </w:rPr>
        <w:t>ředitelka</w:t>
      </w:r>
    </w:p>
    <w:p w:rsidR="00924267" w:rsidRDefault="00924267" w:rsidP="00924267">
      <w:pPr>
        <w:spacing w:after="0"/>
        <w:jc w:val="both"/>
        <w:rPr>
          <w:bCs/>
        </w:rPr>
      </w:pPr>
      <w:r>
        <w:rPr>
          <w:bCs/>
        </w:rPr>
        <w:t>(podepsáno elektronicky</w:t>
      </w:r>
      <w:r w:rsidR="005A2A46">
        <w:rPr>
          <w:bCs/>
        </w:rPr>
        <w:t xml:space="preserve"> dne 28. 11. 2022</w:t>
      </w:r>
      <w:r>
        <w:rPr>
          <w:bCs/>
        </w:rPr>
        <w:t>)</w:t>
      </w:r>
    </w:p>
    <w:p w:rsidR="00924267" w:rsidRDefault="00924267" w:rsidP="00356044">
      <w:pPr>
        <w:spacing w:after="0"/>
        <w:jc w:val="both"/>
        <w:rPr>
          <w:bCs/>
        </w:rPr>
      </w:pPr>
    </w:p>
    <w:p w:rsidR="009D33D1" w:rsidRDefault="009D33D1" w:rsidP="00356044">
      <w:pPr>
        <w:spacing w:after="0"/>
        <w:jc w:val="both"/>
        <w:rPr>
          <w:bCs/>
        </w:rPr>
      </w:pPr>
      <w:r w:rsidRPr="009D33D1">
        <w:rPr>
          <w:bCs/>
        </w:rPr>
        <w:tab/>
      </w:r>
    </w:p>
    <w:p w:rsidR="00924267" w:rsidRDefault="00924267" w:rsidP="00356044">
      <w:pPr>
        <w:spacing w:after="0"/>
        <w:jc w:val="both"/>
        <w:rPr>
          <w:bCs/>
        </w:rPr>
      </w:pPr>
    </w:p>
    <w:p w:rsidR="00924267" w:rsidRPr="009D33D1" w:rsidRDefault="00924267" w:rsidP="00356044">
      <w:pPr>
        <w:spacing w:after="0"/>
        <w:jc w:val="both"/>
        <w:rPr>
          <w:bCs/>
        </w:rPr>
      </w:pPr>
    </w:p>
    <w:p w:rsidR="009D33D1" w:rsidRPr="009D33D1" w:rsidRDefault="009D33D1" w:rsidP="00356044">
      <w:pPr>
        <w:spacing w:after="0"/>
        <w:jc w:val="both"/>
        <w:rPr>
          <w:b/>
          <w:bCs/>
        </w:rPr>
      </w:pPr>
    </w:p>
    <w:p w:rsidR="009D33D1" w:rsidRPr="009D33D1" w:rsidRDefault="009D33D1" w:rsidP="00356044">
      <w:pPr>
        <w:spacing w:after="0"/>
        <w:jc w:val="both"/>
        <w:rPr>
          <w:bCs/>
        </w:rPr>
      </w:pPr>
      <w:r w:rsidRPr="009D33D1">
        <w:rPr>
          <w:bCs/>
        </w:rPr>
        <w:t>Domov pro seniory Mitrov, příspěvková organizace</w:t>
      </w:r>
    </w:p>
    <w:p w:rsidR="009D33D1" w:rsidRPr="009D33D1" w:rsidRDefault="009D33D1" w:rsidP="00356044">
      <w:pPr>
        <w:spacing w:after="0"/>
        <w:jc w:val="both"/>
        <w:rPr>
          <w:b/>
          <w:bCs/>
        </w:rPr>
      </w:pPr>
    </w:p>
    <w:p w:rsidR="009D33D1" w:rsidRPr="009D33D1" w:rsidRDefault="009D33D1" w:rsidP="00356044">
      <w:pPr>
        <w:spacing w:after="0"/>
        <w:jc w:val="both"/>
        <w:rPr>
          <w:b/>
          <w:bCs/>
        </w:rPr>
      </w:pPr>
    </w:p>
    <w:p w:rsidR="009D33D1" w:rsidRPr="009D33D1" w:rsidRDefault="009D33D1" w:rsidP="00356044">
      <w:pPr>
        <w:spacing w:after="0"/>
        <w:jc w:val="both"/>
        <w:rPr>
          <w:b/>
          <w:bCs/>
        </w:rPr>
      </w:pPr>
    </w:p>
    <w:p w:rsidR="009D33D1" w:rsidRPr="009D33D1" w:rsidRDefault="009D33D1" w:rsidP="00356044">
      <w:pPr>
        <w:spacing w:after="0"/>
        <w:jc w:val="both"/>
        <w:rPr>
          <w:bCs/>
        </w:rPr>
      </w:pPr>
      <w:r w:rsidRPr="009D33D1">
        <w:rPr>
          <w:bCs/>
        </w:rPr>
        <w:t>……………………………….</w:t>
      </w:r>
    </w:p>
    <w:p w:rsidR="00924267" w:rsidRDefault="00924267" w:rsidP="00356044">
      <w:pPr>
        <w:spacing w:after="0"/>
        <w:jc w:val="both"/>
        <w:rPr>
          <w:bCs/>
        </w:rPr>
      </w:pPr>
      <w:r>
        <w:rPr>
          <w:bCs/>
        </w:rPr>
        <w:t>Mgr. Josef Myslivec</w:t>
      </w:r>
    </w:p>
    <w:p w:rsidR="009D33D1" w:rsidRPr="009D33D1" w:rsidRDefault="009D33D1" w:rsidP="00356044">
      <w:pPr>
        <w:spacing w:after="0"/>
        <w:jc w:val="both"/>
        <w:rPr>
          <w:bCs/>
        </w:rPr>
      </w:pPr>
      <w:r w:rsidRPr="009D33D1">
        <w:rPr>
          <w:bCs/>
        </w:rPr>
        <w:t>ředitel</w:t>
      </w:r>
    </w:p>
    <w:p w:rsidR="00924267" w:rsidRDefault="00924267" w:rsidP="00924267">
      <w:pPr>
        <w:spacing w:after="0"/>
        <w:jc w:val="both"/>
        <w:rPr>
          <w:bCs/>
        </w:rPr>
      </w:pPr>
      <w:r>
        <w:rPr>
          <w:bCs/>
        </w:rPr>
        <w:t>(podepsáno elektronicky</w:t>
      </w:r>
      <w:r w:rsidR="005A2A46">
        <w:rPr>
          <w:bCs/>
        </w:rPr>
        <w:t xml:space="preserve"> dne 29. 11. 2022</w:t>
      </w:r>
      <w:r>
        <w:rPr>
          <w:bCs/>
        </w:rPr>
        <w:t>)</w:t>
      </w:r>
    </w:p>
    <w:p w:rsidR="009D33D1" w:rsidRPr="009D33D1" w:rsidRDefault="009D33D1" w:rsidP="00356044">
      <w:pPr>
        <w:spacing w:after="0"/>
        <w:jc w:val="both"/>
        <w:rPr>
          <w:bCs/>
        </w:rPr>
      </w:pPr>
      <w:r w:rsidRPr="009D33D1">
        <w:rPr>
          <w:bCs/>
        </w:rPr>
        <w:tab/>
      </w:r>
    </w:p>
    <w:p w:rsidR="009D33D1" w:rsidRDefault="009D33D1" w:rsidP="00356044">
      <w:pPr>
        <w:spacing w:after="0"/>
        <w:jc w:val="both"/>
        <w:rPr>
          <w:bCs/>
        </w:rPr>
      </w:pPr>
    </w:p>
    <w:p w:rsidR="00924267" w:rsidRDefault="00924267" w:rsidP="00356044">
      <w:pPr>
        <w:spacing w:after="0"/>
        <w:jc w:val="both"/>
        <w:rPr>
          <w:bCs/>
        </w:rPr>
      </w:pPr>
    </w:p>
    <w:p w:rsidR="00924267" w:rsidRDefault="00924267" w:rsidP="00356044">
      <w:pPr>
        <w:spacing w:after="0"/>
        <w:jc w:val="both"/>
        <w:rPr>
          <w:bCs/>
        </w:rPr>
      </w:pPr>
    </w:p>
    <w:p w:rsidR="00924267" w:rsidRPr="009D33D1" w:rsidRDefault="00924267" w:rsidP="00356044">
      <w:pPr>
        <w:spacing w:after="0"/>
        <w:jc w:val="both"/>
        <w:rPr>
          <w:bCs/>
        </w:rPr>
      </w:pPr>
    </w:p>
    <w:p w:rsidR="009D33D1" w:rsidRPr="009D33D1" w:rsidRDefault="009D33D1" w:rsidP="00356044">
      <w:pPr>
        <w:spacing w:after="0"/>
        <w:jc w:val="both"/>
        <w:rPr>
          <w:bCs/>
        </w:rPr>
      </w:pPr>
      <w:r w:rsidRPr="009D33D1">
        <w:rPr>
          <w:bCs/>
        </w:rPr>
        <w:t>Domov pro seniory Velké Meziříčí, příspěvková organizace</w:t>
      </w:r>
    </w:p>
    <w:p w:rsidR="009D33D1" w:rsidRPr="009D33D1" w:rsidRDefault="009D33D1" w:rsidP="00356044">
      <w:pPr>
        <w:spacing w:after="0"/>
        <w:jc w:val="both"/>
        <w:rPr>
          <w:b/>
          <w:bCs/>
        </w:rPr>
      </w:pPr>
    </w:p>
    <w:p w:rsidR="009D33D1" w:rsidRPr="009D33D1" w:rsidRDefault="009D33D1" w:rsidP="00356044">
      <w:pPr>
        <w:spacing w:after="0"/>
        <w:jc w:val="both"/>
        <w:rPr>
          <w:b/>
          <w:bCs/>
        </w:rPr>
      </w:pPr>
    </w:p>
    <w:p w:rsidR="009D33D1" w:rsidRPr="009D33D1" w:rsidRDefault="009D33D1" w:rsidP="00356044">
      <w:pPr>
        <w:spacing w:after="0"/>
        <w:jc w:val="both"/>
        <w:rPr>
          <w:b/>
          <w:bCs/>
        </w:rPr>
      </w:pPr>
    </w:p>
    <w:p w:rsidR="009D33D1" w:rsidRPr="009D33D1" w:rsidRDefault="009D33D1" w:rsidP="00356044">
      <w:pPr>
        <w:spacing w:after="0"/>
        <w:jc w:val="both"/>
        <w:rPr>
          <w:bCs/>
        </w:rPr>
      </w:pPr>
      <w:r w:rsidRPr="009D33D1">
        <w:rPr>
          <w:bCs/>
        </w:rPr>
        <w:t>……………………………….</w:t>
      </w:r>
    </w:p>
    <w:p w:rsidR="00924267" w:rsidRDefault="009D33D1" w:rsidP="00356044">
      <w:pPr>
        <w:spacing w:after="0"/>
        <w:jc w:val="both"/>
        <w:rPr>
          <w:bCs/>
        </w:rPr>
      </w:pPr>
      <w:r w:rsidRPr="009D33D1">
        <w:rPr>
          <w:bCs/>
        </w:rPr>
        <w:t>Mgr. Renata Horňáková</w:t>
      </w:r>
    </w:p>
    <w:p w:rsidR="00632624" w:rsidRDefault="009D33D1" w:rsidP="00356044">
      <w:pPr>
        <w:spacing w:after="0"/>
        <w:jc w:val="both"/>
        <w:rPr>
          <w:bCs/>
        </w:rPr>
      </w:pPr>
      <w:r w:rsidRPr="009D33D1">
        <w:rPr>
          <w:bCs/>
        </w:rPr>
        <w:t>ředitelka</w:t>
      </w:r>
    </w:p>
    <w:p w:rsidR="00924267" w:rsidRDefault="00924267" w:rsidP="00924267">
      <w:pPr>
        <w:spacing w:after="0"/>
        <w:jc w:val="both"/>
        <w:rPr>
          <w:bCs/>
        </w:rPr>
      </w:pPr>
      <w:r>
        <w:rPr>
          <w:bCs/>
        </w:rPr>
        <w:t>(podepsáno elektronicky</w:t>
      </w:r>
      <w:r w:rsidR="005A2A46">
        <w:rPr>
          <w:bCs/>
        </w:rPr>
        <w:t xml:space="preserve"> dne 30. 11. 2022</w:t>
      </w:r>
      <w:bookmarkStart w:id="0" w:name="_GoBack"/>
      <w:bookmarkEnd w:id="0"/>
      <w:r>
        <w:rPr>
          <w:bCs/>
        </w:rPr>
        <w:t>)</w:t>
      </w:r>
    </w:p>
    <w:p w:rsidR="00924267" w:rsidRPr="00C270FF" w:rsidRDefault="00924267" w:rsidP="00356044">
      <w:pPr>
        <w:spacing w:after="0"/>
        <w:jc w:val="both"/>
        <w:rPr>
          <w:bCs/>
        </w:rPr>
      </w:pPr>
    </w:p>
    <w:sectPr w:rsidR="00924267" w:rsidRPr="00C270FF" w:rsidSect="00EE7884">
      <w:headerReference w:type="even" r:id="rId11"/>
      <w:headerReference w:type="default" r:id="rId12"/>
      <w:footerReference w:type="default" r:id="rId13"/>
      <w:headerReference w:type="first" r:id="rId14"/>
      <w:footerReference w:type="first" r:id="rId15"/>
      <w:pgSz w:w="11906" w:h="16838"/>
      <w:pgMar w:top="1777" w:right="720" w:bottom="1702" w:left="720" w:header="567"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D1" w:rsidRDefault="009D33D1" w:rsidP="0016507F">
      <w:pPr>
        <w:spacing w:after="0" w:line="240" w:lineRule="auto"/>
      </w:pPr>
      <w:r>
        <w:separator/>
      </w:r>
    </w:p>
  </w:endnote>
  <w:endnote w:type="continuationSeparator" w:id="0">
    <w:p w:rsidR="009D33D1" w:rsidRDefault="009D33D1"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7" w:rsidRDefault="003019C7" w:rsidP="00EE7884">
    <w:pPr>
      <w:pStyle w:val="Zpat"/>
      <w:jc w:val="center"/>
      <w:rPr>
        <w:rFonts w:ascii="Montserrat Medium" w:hAnsi="Montserrat Medium"/>
        <w:color w:val="767171" w:themeColor="background2" w:themeShade="80"/>
        <w:sz w:val="18"/>
        <w:szCs w:val="18"/>
      </w:rPr>
    </w:pPr>
  </w:p>
  <w:p w:rsidR="003019C7" w:rsidRDefault="003019C7" w:rsidP="00EE7884">
    <w:pPr>
      <w:pStyle w:val="Zpat"/>
      <w:jc w:val="center"/>
      <w:rPr>
        <w:rFonts w:ascii="Montserrat Medium" w:hAnsi="Montserrat Medium"/>
        <w:color w:val="767171" w:themeColor="background2" w:themeShade="80"/>
        <w:sz w:val="18"/>
        <w:szCs w:val="18"/>
      </w:rPr>
    </w:pPr>
  </w:p>
  <w:p w:rsidR="00EE7884" w:rsidRPr="002444AF" w:rsidRDefault="00EE7884" w:rsidP="00EE7884">
    <w:pPr>
      <w:pStyle w:val="Zpat"/>
      <w:jc w:val="center"/>
      <w:rPr>
        <w:rFonts w:cstheme="minorHAnsi"/>
        <w:color w:val="767171" w:themeColor="background2" w:themeShade="80"/>
      </w:rPr>
    </w:pPr>
    <w:r w:rsidRPr="002444AF">
      <w:rPr>
        <w:rFonts w:cstheme="minorHAnsi"/>
        <w:color w:val="767171" w:themeColor="background2" w:themeShade="80"/>
      </w:rPr>
      <w:t xml:space="preserve">Strana </w:t>
    </w:r>
    <w:r w:rsidRPr="002444AF">
      <w:rPr>
        <w:rFonts w:cstheme="minorHAnsi"/>
        <w:color w:val="767171" w:themeColor="background2" w:themeShade="80"/>
      </w:rPr>
      <w:fldChar w:fldCharType="begin"/>
    </w:r>
    <w:r w:rsidRPr="002444AF">
      <w:rPr>
        <w:rFonts w:cstheme="minorHAnsi"/>
        <w:color w:val="767171" w:themeColor="background2" w:themeShade="80"/>
      </w:rPr>
      <w:instrText>PAGE   \* MERGEFORMAT</w:instrText>
    </w:r>
    <w:r w:rsidRPr="002444AF">
      <w:rPr>
        <w:rFonts w:cstheme="minorHAnsi"/>
        <w:color w:val="767171" w:themeColor="background2" w:themeShade="80"/>
      </w:rPr>
      <w:fldChar w:fldCharType="separate"/>
    </w:r>
    <w:r w:rsidR="005A2A46">
      <w:rPr>
        <w:rFonts w:cstheme="minorHAnsi"/>
        <w:noProof/>
        <w:color w:val="767171" w:themeColor="background2" w:themeShade="80"/>
      </w:rPr>
      <w:t>4</w:t>
    </w:r>
    <w:r w:rsidRPr="002444AF">
      <w:rPr>
        <w:rFonts w:cstheme="minorHAnsi"/>
        <w:color w:val="767171" w:themeColor="background2" w:themeShade="80"/>
      </w:rPr>
      <w:fldChar w:fldCharType="end"/>
    </w:r>
    <w:r w:rsidRPr="002444AF">
      <w:rPr>
        <w:rFonts w:cstheme="minorHAnsi"/>
        <w:color w:val="767171" w:themeColor="background2" w:themeShade="80"/>
      </w:rPr>
      <w:t xml:space="preserve"> z </w:t>
    </w:r>
    <w:r w:rsidRPr="002444AF">
      <w:rPr>
        <w:rFonts w:cstheme="minorHAnsi"/>
        <w:noProof/>
        <w:color w:val="767171" w:themeColor="background2" w:themeShade="80"/>
      </w:rPr>
      <w:fldChar w:fldCharType="begin"/>
    </w:r>
    <w:r w:rsidRPr="002444AF">
      <w:rPr>
        <w:rFonts w:cstheme="minorHAnsi"/>
        <w:noProof/>
        <w:color w:val="767171" w:themeColor="background2" w:themeShade="80"/>
      </w:rPr>
      <w:instrText xml:space="preserve"> NUMPAGES  \* Arabic  \* MERGEFORMAT </w:instrText>
    </w:r>
    <w:r w:rsidRPr="002444AF">
      <w:rPr>
        <w:rFonts w:cstheme="minorHAnsi"/>
        <w:noProof/>
        <w:color w:val="767171" w:themeColor="background2" w:themeShade="80"/>
      </w:rPr>
      <w:fldChar w:fldCharType="separate"/>
    </w:r>
    <w:r w:rsidR="005A2A46">
      <w:rPr>
        <w:rFonts w:cstheme="minorHAnsi"/>
        <w:noProof/>
        <w:color w:val="767171" w:themeColor="background2" w:themeShade="80"/>
      </w:rPr>
      <w:t>5</w:t>
    </w:r>
    <w:r w:rsidRPr="002444AF">
      <w:rPr>
        <w:rFonts w:cstheme="minorHAnsi"/>
        <w:noProof/>
        <w:color w:val="767171" w:themeColor="background2" w:themeShade="80"/>
      </w:rPr>
      <w:fldChar w:fldCharType="end"/>
    </w:r>
  </w:p>
  <w:p w:rsidR="0019724D" w:rsidRDefault="0019724D" w:rsidP="0019724D">
    <w:pPr>
      <w:pStyle w:val="Zpat"/>
    </w:pPr>
  </w:p>
  <w:p w:rsidR="0019724D" w:rsidRDefault="0019724D" w:rsidP="0019724D">
    <w:pPr>
      <w:pStyle w:val="Zpat"/>
      <w:ind w:firstLine="2124"/>
    </w:pPr>
  </w:p>
  <w:p w:rsidR="0016507F" w:rsidRPr="0019724D" w:rsidRDefault="0019724D" w:rsidP="0019724D">
    <w:pPr>
      <w:pStyle w:val="Zpat"/>
    </w:pPr>
    <w:r>
      <w:tab/>
    </w:r>
    <w:r w:rsidR="007847CC">
      <w:rPr>
        <w:noProof/>
        <w:lang w:eastAsia="cs-CZ"/>
      </w:rPr>
      <w:drawing>
        <wp:inline distT="0" distB="0" distL="0" distR="0" wp14:anchorId="2E9ECEF4" wp14:editId="1D7628CE">
          <wp:extent cx="6519406" cy="456863"/>
          <wp:effectExtent l="0" t="0" r="0" b="635"/>
          <wp:docPr id="5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4D" w:rsidRDefault="007847CC" w:rsidP="00EB1D06">
    <w:pPr>
      <w:pStyle w:val="Zpat"/>
      <w:spacing w:before="240"/>
      <w:ind w:right="-307" w:hanging="284"/>
      <w:jc w:val="center"/>
    </w:pPr>
    <w:r>
      <w:rPr>
        <w:noProof/>
        <w:lang w:eastAsia="cs-CZ"/>
      </w:rPr>
      <w:drawing>
        <wp:inline distT="0" distB="0" distL="0" distR="0" wp14:anchorId="2E9ECEF4" wp14:editId="1D7628CE">
          <wp:extent cx="6519406" cy="456863"/>
          <wp:effectExtent l="0" t="0" r="0" b="635"/>
          <wp:docPr id="5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D1" w:rsidRDefault="009D33D1" w:rsidP="0016507F">
      <w:pPr>
        <w:spacing w:after="0" w:line="240" w:lineRule="auto"/>
      </w:pPr>
      <w:r>
        <w:separator/>
      </w:r>
    </w:p>
  </w:footnote>
  <w:footnote w:type="continuationSeparator" w:id="0">
    <w:p w:rsidR="009D33D1" w:rsidRDefault="009D33D1"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ED" w:rsidRDefault="005A2A46">
    <w:pPr>
      <w:pStyle w:val="Zhlav"/>
    </w:pPr>
    <w:r>
      <w:rPr>
        <w:noProof/>
      </w:rPr>
      <w:pict w14:anchorId="399F3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4D" w:rsidRPr="002C1F42" w:rsidRDefault="005A2A46" w:rsidP="0019724D">
    <w:pPr>
      <w:rPr>
        <w:lang w:val="en-US"/>
      </w:rPr>
    </w:pPr>
    <w:r>
      <w:rPr>
        <w:noProof/>
        <w:lang w:eastAsia="cs-CZ"/>
      </w:rPr>
      <w:pict w14:anchorId="7AEB3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0;margin-top:0;width:620pt;height:877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847CC">
      <w:rPr>
        <w:noProof/>
        <w:lang w:eastAsia="cs-CZ"/>
      </w:rPr>
      <w:drawing>
        <wp:inline distT="0" distB="0" distL="0" distR="0" wp14:anchorId="41DEEF02" wp14:editId="2083EC01">
          <wp:extent cx="3914909" cy="389228"/>
          <wp:effectExtent l="0" t="0" r="0" b="0"/>
          <wp:docPr id="53"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Lst>
                  </a:blip>
                  <a:stretch>
                    <a:fillRect/>
                  </a:stretch>
                </pic:blipFill>
                <pic:spPr>
                  <a:xfrm>
                    <a:off x="0" y="0"/>
                    <a:ext cx="3914909" cy="389228"/>
                  </a:xfrm>
                  <a:prstGeom prst="rect">
                    <a:avLst/>
                  </a:prstGeom>
                </pic:spPr>
              </pic:pic>
            </a:graphicData>
          </a:graphic>
        </wp:inline>
      </w:drawing>
    </w:r>
    <w:r w:rsidR="0019724D">
      <w:rPr>
        <w:lang w:val="en-US"/>
      </w:rPr>
      <w:tab/>
    </w:r>
  </w:p>
  <w:p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4D" w:rsidRPr="002C1F42" w:rsidRDefault="005A2A46" w:rsidP="001D4C5C">
    <w:pPr>
      <w:pStyle w:val="Zhlav"/>
      <w:tabs>
        <w:tab w:val="clear" w:pos="4536"/>
        <w:tab w:val="clear" w:pos="9072"/>
        <w:tab w:val="left" w:pos="4710"/>
      </w:tabs>
      <w:rPr>
        <w:lang w:val="en-US"/>
      </w:rPr>
    </w:pPr>
    <w:r>
      <w:rPr>
        <w:noProof/>
        <w:lang w:val="en-US"/>
      </w:rPr>
      <w:pict w14:anchorId="6248F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45076ECD" wp14:editId="608D01BA">
          <wp:extent cx="3453090" cy="343313"/>
          <wp:effectExtent l="0" t="0" r="0" b="0"/>
          <wp:docPr id="5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val="0"/>
        <w:bCs w:val="0"/>
      </w:rPr>
    </w:lvl>
    <w:lvl w:ilvl="1">
      <w:start w:val="1"/>
      <w:numFmt w:val="decimal"/>
      <w:lvlText w:val="%2."/>
      <w:lvlJc w:val="left"/>
      <w:pPr>
        <w:tabs>
          <w:tab w:val="num" w:pos="644"/>
        </w:tabs>
        <w:ind w:left="644"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18287E97"/>
    <w:multiLevelType w:val="multilevel"/>
    <w:tmpl w:val="C8166BD6"/>
    <w:lvl w:ilvl="0">
      <w:start w:val="1"/>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FD1D41"/>
    <w:multiLevelType w:val="hybridMultilevel"/>
    <w:tmpl w:val="D978651A"/>
    <w:lvl w:ilvl="0" w:tplc="04050017">
      <w:start w:val="1"/>
      <w:numFmt w:val="lowerLetter"/>
      <w:lvlText w:val="%1)"/>
      <w:lvlJc w:val="left"/>
      <w:pPr>
        <w:ind w:left="720" w:hanging="360"/>
      </w:pPr>
    </w:lvl>
    <w:lvl w:ilvl="1" w:tplc="C12890AC">
      <w:start w:val="1"/>
      <w:numFmt w:val="lowerLetter"/>
      <w:lvlText w:val="%2)"/>
      <w:lvlJc w:val="left"/>
      <w:pPr>
        <w:ind w:left="1500" w:hanging="4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78A56DF"/>
    <w:multiLevelType w:val="multilevel"/>
    <w:tmpl w:val="6894848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6162CA"/>
    <w:multiLevelType w:val="hybridMultilevel"/>
    <w:tmpl w:val="4044C360"/>
    <w:lvl w:ilvl="0" w:tplc="0405000F">
      <w:start w:val="1"/>
      <w:numFmt w:val="decimal"/>
      <w:lvlText w:val="%1."/>
      <w:lvlJc w:val="left"/>
      <w:pPr>
        <w:ind w:left="720" w:hanging="360"/>
      </w:pPr>
    </w:lvl>
    <w:lvl w:ilvl="1" w:tplc="C12890AC">
      <w:start w:val="1"/>
      <w:numFmt w:val="lowerLetter"/>
      <w:lvlText w:val="%2)"/>
      <w:lvlJc w:val="left"/>
      <w:pPr>
        <w:ind w:left="1500" w:hanging="4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D46097"/>
    <w:multiLevelType w:val="multilevel"/>
    <w:tmpl w:val="FFCE4D7C"/>
    <w:lvl w:ilvl="0">
      <w:start w:val="1"/>
      <w:numFmt w:val="decimal"/>
      <w:lvlText w:val="%1."/>
      <w:lvlJc w:val="left"/>
      <w:pPr>
        <w:ind w:left="360" w:hanging="360"/>
      </w:pPr>
      <w:rPr>
        <w:rFonts w:hint="default"/>
        <w:b w:val="0"/>
        <w:bCs w:val="0"/>
        <w:sz w:val="22"/>
        <w:szCs w:val="22"/>
      </w:rPr>
    </w:lvl>
    <w:lvl w:ilvl="1">
      <w:start w:val="1"/>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93549F"/>
    <w:multiLevelType w:val="hybridMultilevel"/>
    <w:tmpl w:val="532088E0"/>
    <w:lvl w:ilvl="0" w:tplc="A67C5C1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8730505"/>
    <w:multiLevelType w:val="hybridMultilevel"/>
    <w:tmpl w:val="40243A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11825AD"/>
    <w:multiLevelType w:val="multilevel"/>
    <w:tmpl w:val="3956F08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1792B87"/>
    <w:multiLevelType w:val="hybridMultilevel"/>
    <w:tmpl w:val="31B08E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3683283"/>
    <w:multiLevelType w:val="multilevel"/>
    <w:tmpl w:val="1804D6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5936A2A"/>
    <w:multiLevelType w:val="multilevel"/>
    <w:tmpl w:val="23A4B0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10577"/>
    <w:multiLevelType w:val="multilevel"/>
    <w:tmpl w:val="A89C070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9"/>
  </w:num>
  <w:num w:numId="9">
    <w:abstractNumId w:val="12"/>
  </w:num>
  <w:num w:numId="10">
    <w:abstractNumId w:val="1"/>
  </w:num>
  <w:num w:numId="11">
    <w:abstractNumId w:val="5"/>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D1"/>
    <w:rsid w:val="0002157E"/>
    <w:rsid w:val="00090F0C"/>
    <w:rsid w:val="000E3339"/>
    <w:rsid w:val="00112BCC"/>
    <w:rsid w:val="00117A76"/>
    <w:rsid w:val="0016507F"/>
    <w:rsid w:val="00172FF9"/>
    <w:rsid w:val="00177C20"/>
    <w:rsid w:val="00180D3C"/>
    <w:rsid w:val="0019724D"/>
    <w:rsid w:val="001A18DC"/>
    <w:rsid w:val="001A478A"/>
    <w:rsid w:val="001D4C5C"/>
    <w:rsid w:val="001D51EC"/>
    <w:rsid w:val="002444AF"/>
    <w:rsid w:val="002778F9"/>
    <w:rsid w:val="002C1F42"/>
    <w:rsid w:val="002E2A6A"/>
    <w:rsid w:val="003019C7"/>
    <w:rsid w:val="0031626D"/>
    <w:rsid w:val="00340B0E"/>
    <w:rsid w:val="00356044"/>
    <w:rsid w:val="003A42A8"/>
    <w:rsid w:val="003E0005"/>
    <w:rsid w:val="0043078E"/>
    <w:rsid w:val="00537116"/>
    <w:rsid w:val="00597A93"/>
    <w:rsid w:val="005A2A46"/>
    <w:rsid w:val="005E0AEB"/>
    <w:rsid w:val="005E7187"/>
    <w:rsid w:val="005E72DA"/>
    <w:rsid w:val="00612D4F"/>
    <w:rsid w:val="00632624"/>
    <w:rsid w:val="006B058B"/>
    <w:rsid w:val="007445B2"/>
    <w:rsid w:val="00777C0A"/>
    <w:rsid w:val="007847CC"/>
    <w:rsid w:val="00793ACE"/>
    <w:rsid w:val="007D4B0A"/>
    <w:rsid w:val="00817E3D"/>
    <w:rsid w:val="00841567"/>
    <w:rsid w:val="00880E1A"/>
    <w:rsid w:val="00883B81"/>
    <w:rsid w:val="00896DCE"/>
    <w:rsid w:val="008A1159"/>
    <w:rsid w:val="00924267"/>
    <w:rsid w:val="00931B03"/>
    <w:rsid w:val="009D33D1"/>
    <w:rsid w:val="009D6198"/>
    <w:rsid w:val="00A005E1"/>
    <w:rsid w:val="00A15EFA"/>
    <w:rsid w:val="00A2348D"/>
    <w:rsid w:val="00A777B4"/>
    <w:rsid w:val="00AA3803"/>
    <w:rsid w:val="00B109A7"/>
    <w:rsid w:val="00B4302F"/>
    <w:rsid w:val="00B62510"/>
    <w:rsid w:val="00B82081"/>
    <w:rsid w:val="00C270FF"/>
    <w:rsid w:val="00C8424E"/>
    <w:rsid w:val="00C869B6"/>
    <w:rsid w:val="00CA679D"/>
    <w:rsid w:val="00D270ED"/>
    <w:rsid w:val="00D77DF5"/>
    <w:rsid w:val="00D95A0E"/>
    <w:rsid w:val="00DA16EB"/>
    <w:rsid w:val="00EB1D06"/>
    <w:rsid w:val="00EB4034"/>
    <w:rsid w:val="00EB6DAE"/>
    <w:rsid w:val="00EE74E0"/>
    <w:rsid w:val="00EE7884"/>
    <w:rsid w:val="00F24C0D"/>
    <w:rsid w:val="00F458E5"/>
    <w:rsid w:val="00F47FD8"/>
    <w:rsid w:val="00F52708"/>
    <w:rsid w:val="00F56A03"/>
    <w:rsid w:val="00F756FC"/>
    <w:rsid w:val="00F87F60"/>
    <w:rsid w:val="00FF3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E3F43B"/>
  <w15:chartTrackingRefBased/>
  <w15:docId w15:val="{1F3925CD-3FA6-42F9-996A-73FDF43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character" w:customStyle="1" w:styleId="OdstavecseseznamemChar">
    <w:name w:val="Odstavec se seznamem Char"/>
    <w:link w:val="Odstavecseseznamem"/>
    <w:uiPriority w:val="34"/>
    <w:locked/>
    <w:rsid w:val="00C8424E"/>
    <w:rPr>
      <w:rFonts w:ascii="Calibri" w:eastAsia="Calibri" w:hAnsi="Calibri" w:cs="Times New Roman"/>
    </w:rPr>
  </w:style>
  <w:style w:type="paragraph" w:styleId="Odstavecseseznamem">
    <w:name w:val="List Paragraph"/>
    <w:basedOn w:val="Normln"/>
    <w:link w:val="OdstavecseseznamemChar"/>
    <w:uiPriority w:val="34"/>
    <w:qFormat/>
    <w:rsid w:val="00C8424E"/>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Standardnpsmoodstavce"/>
    <w:rsid w:val="00C8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2.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20C04E-4B3A-43E5-A9C2-71AEDE244E5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82EA313-252C-497D-BD8F-5EFD6894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1306</Words>
  <Characters>7708</Characters>
  <Application>Microsoft Office Word</Application>
  <DocSecurity>0</DocSecurity>
  <Lines>64</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dc:description/>
  <cp:lastModifiedBy>Lédlová Lenka</cp:lastModifiedBy>
  <cp:revision>4</cp:revision>
  <cp:lastPrinted>2022-11-22T13:05:00Z</cp:lastPrinted>
  <dcterms:created xsi:type="dcterms:W3CDTF">2022-12-02T08:59:00Z</dcterms:created>
  <dcterms:modified xsi:type="dcterms:W3CDTF">2022-12-02T09:03:00Z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