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13" w:rsidRPr="00733671" w:rsidRDefault="00691713" w:rsidP="006917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SMLOUVA O POSKYTNUTÍ </w:t>
      </w:r>
      <w:r w:rsidRPr="0073367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DOTACE č. </w:t>
      </w:r>
      <w:r w:rsidR="003F79E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2017/0025</w:t>
      </w:r>
      <w:r w:rsidR="00A21D6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76</w:t>
      </w:r>
    </w:p>
    <w:p w:rsidR="00691713" w:rsidRPr="00733671" w:rsidRDefault="00691713" w:rsidP="006917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uzavřená níže uvedeného dne, měsíce a roku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podle § 10a a násl. zákona č. 250/2000 Sb., o rozpočtových pravidlech územních rozpočtů, a v souladu se zákonem č. 128/2000 Sb., o obcích, ve znění pozdějších předpisů</w:t>
      </w:r>
      <w:r w:rsidRPr="007336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1.Poskytovatel</w:t>
      </w:r>
      <w:proofErr w:type="gramEnd"/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Statutární město Plzeň – Městský obvod Plzeň 1</w:t>
      </w:r>
    </w:p>
    <w:p w:rsidR="00691713" w:rsidRPr="00733671" w:rsidRDefault="00691713" w:rsidP="006917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alej Svobody 60, 323 00 Plzeň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00075370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CZ00075370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Komerční banka, a. s., Plzeň – město</w:t>
      </w:r>
    </w:p>
    <w:p w:rsidR="00691713" w:rsidRPr="00733671" w:rsidRDefault="0044003D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XXXXXXXXX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Miroslavem Brabcem, starostou</w:t>
      </w: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B750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„MO Plzeň 1“)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AE5D8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 xml:space="preserve">2. Příjemce </w:t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proofErr w:type="gramStart"/>
      <w:r w:rsidR="00A21D6C" w:rsidRPr="00A21D6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Ledovec, z.s.</w:t>
      </w:r>
      <w:proofErr w:type="gramEnd"/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/sídlo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F79E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F79E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21D6C" w:rsidRPr="00A21D6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Ledce </w:t>
      </w:r>
      <w:proofErr w:type="gramStart"/>
      <w:r w:rsidR="00A21D6C" w:rsidRPr="00A21D6C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="00A21D6C" w:rsidRPr="00A21D6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1, 330 14 Ledce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21D6C" w:rsidRPr="00A21D6C">
        <w:rPr>
          <w:rFonts w:ascii="Times New Roman" w:eastAsia="Times New Roman" w:hAnsi="Times New Roman" w:cs="Times New Roman"/>
          <w:sz w:val="24"/>
          <w:szCs w:val="20"/>
          <w:lang w:eastAsia="cs-CZ"/>
        </w:rPr>
        <w:t>26517051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21D6C">
        <w:rPr>
          <w:rFonts w:ascii="Times New Roman" w:eastAsia="Times New Roman" w:hAnsi="Times New Roman" w:cs="Times New Roman"/>
          <w:sz w:val="24"/>
          <w:szCs w:val="20"/>
          <w:lang w:eastAsia="cs-CZ"/>
        </w:rPr>
        <w:t>Komerční banka, a.s.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44003D">
        <w:rPr>
          <w:rFonts w:ascii="Times New Roman" w:eastAsia="Times New Roman" w:hAnsi="Times New Roman" w:cs="Times New Roman"/>
          <w:sz w:val="24"/>
          <w:szCs w:val="20"/>
          <w:lang w:eastAsia="cs-CZ"/>
        </w:rPr>
        <w:t>XXXXXXXXX</w:t>
      </w:r>
    </w:p>
    <w:p w:rsidR="00691713" w:rsidRPr="00AE5D85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Zastoupený: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21D6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Mgr. et Mgr. Martinem </w:t>
      </w:r>
      <w:proofErr w:type="spellStart"/>
      <w:r w:rsidR="00A21D6C">
        <w:rPr>
          <w:rFonts w:ascii="Times New Roman" w:eastAsia="Times New Roman" w:hAnsi="Times New Roman" w:cs="Times New Roman"/>
          <w:sz w:val="24"/>
          <w:szCs w:val="20"/>
          <w:lang w:eastAsia="cs-CZ"/>
        </w:rPr>
        <w:t>Fojtíčkem</w:t>
      </w:r>
      <w:proofErr w:type="spellEnd"/>
      <w:r w:rsidR="00A21D6C">
        <w:rPr>
          <w:rFonts w:ascii="Times New Roman" w:eastAsia="Times New Roman" w:hAnsi="Times New Roman" w:cs="Times New Roman"/>
          <w:sz w:val="24"/>
          <w:szCs w:val="20"/>
          <w:lang w:eastAsia="cs-CZ"/>
        </w:rPr>
        <w:t>, ředitelem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uzavírají na základě usnesení </w:t>
      </w:r>
      <w:r w:rsidRPr="000A7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Zastupitelstva městského obvodu Plzeň 1 č. </w:t>
      </w:r>
      <w:r w:rsidR="003F79E5">
        <w:rPr>
          <w:rFonts w:ascii="Times New Roman" w:eastAsia="Times New Roman" w:hAnsi="Times New Roman" w:cs="Times New Roman"/>
          <w:sz w:val="24"/>
          <w:szCs w:val="24"/>
          <w:lang w:eastAsia="cs-CZ"/>
        </w:rPr>
        <w:t>353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Pr="000A7F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12. 4. 2017 tuto smlouvu o poskytnutí dotace z rozpočtu MO Plzeň 1. </w:t>
      </w:r>
    </w:p>
    <w:p w:rsidR="00691713" w:rsidRPr="00040B00" w:rsidRDefault="00691713" w:rsidP="0069171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40B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ustanovení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pro právní vztah založený touto smlouvou jsou stejně jako ustanovení této smlouvy právně závazná i ustanovení obsažená v Zásadách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poskytování dotací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rozpočtu MO Plzeň 1, schválených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městského obvodu Plzeň 1 č. 165 ze dne 9. 12. 2015 (dále jen </w:t>
      </w:r>
      <w:r w:rsidRPr="00B7508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„Zásady“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), které jsou k dispozici na webových stránkách MO Plzeň 1 (</w:t>
      </w:r>
      <w:hyperlink r:id="rId8" w:history="1">
        <w:r w:rsidRPr="001A6A2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http://umo1.plzen.eu/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Granty a dotace). </w:t>
      </w:r>
    </w:p>
    <w:p w:rsidR="00691713" w:rsidRDefault="00691713" w:rsidP="006917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podpisem této smlouvy potvrzuje, že se před podpisem smlouvy se zněním Zásad seznámil a zavazuje se podmínkami v nich uvedenými řídit.</w:t>
      </w:r>
    </w:p>
    <w:p w:rsidR="00691713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II. 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smlouvy je poskytnutí finančn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ích prostředků maximálně do výše </w:t>
      </w:r>
      <w:r w:rsidR="00A21D6C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3F79E5">
        <w:rPr>
          <w:rFonts w:ascii="Times New Roman" w:eastAsia="Times New Roman" w:hAnsi="Times New Roman" w:cs="Times New Roman"/>
          <w:sz w:val="24"/>
          <w:szCs w:val="24"/>
          <w:lang w:eastAsia="cs-CZ"/>
        </w:rPr>
        <w:t> 000 Kč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(slovy:</w:t>
      </w:r>
      <w:r w:rsidR="003F79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21D6C">
        <w:rPr>
          <w:rFonts w:ascii="Times New Roman" w:eastAsia="Times New Roman" w:hAnsi="Times New Roman" w:cs="Times New Roman"/>
          <w:sz w:val="24"/>
          <w:szCs w:val="24"/>
          <w:lang w:eastAsia="cs-CZ"/>
        </w:rPr>
        <w:t>dvacet</w:t>
      </w:r>
      <w:r w:rsidR="003F79E5">
        <w:rPr>
          <w:rFonts w:ascii="Times New Roman" w:eastAsia="Times New Roman" w:hAnsi="Times New Roman" w:cs="Times New Roman"/>
          <w:sz w:val="24"/>
          <w:szCs w:val="24"/>
          <w:lang w:eastAsia="cs-CZ"/>
        </w:rPr>
        <w:t>tisíckorunčeských</w:t>
      </w:r>
      <w:proofErr w:type="spellEnd"/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z rozpočtu poskytovatele na podporu realizace projektu příjemce podle článku III. této smlouvy (dále též jen </w:t>
      </w:r>
      <w:r w:rsidRPr="0069171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„dotace“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>), a to přesně dle jednotlivých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položek uvedených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rozepsaných v Žádosti o poskytnutí dotace včetně všech příloh (dále jen </w:t>
      </w:r>
      <w:r w:rsidRPr="00ED5A3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„žádost“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691713" w:rsidRPr="00733671" w:rsidRDefault="00691713" w:rsidP="006917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5E44A1">
      <w:pPr>
        <w:tabs>
          <w:tab w:val="left" w:pos="284"/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je určena na tento účel</w:t>
      </w:r>
      <w:r w:rsidRPr="006917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A21D6C" w:rsidRPr="00A21D6C">
        <w:rPr>
          <w:rFonts w:ascii="Times New Roman" w:eastAsia="Times New Roman" w:hAnsi="Times New Roman" w:cs="Times New Roman"/>
          <w:sz w:val="24"/>
          <w:szCs w:val="24"/>
          <w:lang w:eastAsia="cs-CZ"/>
        </w:rPr>
        <w:t>Evropský den sousedů - Dny Světlé 27.</w:t>
      </w:r>
      <w:r w:rsidR="00A21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1D6C" w:rsidRPr="00A21D6C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="00A21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1D6C" w:rsidRPr="00A21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2017 - pouliční sousedská slavnost (problematika duševního zdraví, </w:t>
      </w:r>
      <w:proofErr w:type="spellStart"/>
      <w:r w:rsidR="00A21D6C" w:rsidRPr="00A21D6C">
        <w:rPr>
          <w:rFonts w:ascii="Times New Roman" w:eastAsia="Times New Roman" w:hAnsi="Times New Roman" w:cs="Times New Roman"/>
          <w:sz w:val="24"/>
          <w:szCs w:val="24"/>
          <w:lang w:eastAsia="cs-CZ"/>
        </w:rPr>
        <w:t>destigmatizace</w:t>
      </w:r>
      <w:proofErr w:type="spellEnd"/>
      <w:r w:rsidR="00A21D6C" w:rsidRPr="00A21D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lidí s duševním onemocněním a propagace činnosti) - úklidové a kancelářské potřeby, materiál na večerní slavnost, technické zajištění, zapůjčení stanů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F12E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„projekt“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Dotace je poskytovatelem poskytnuta a bude účelově použita výhradně na částečnou úhradu neinvestičních nákladů vzniklých příjemci v roce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věcně a časově příslušejících k tomuto období a souvisejících s realizací projektu podle ods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tavce 1. tohoto článku. V roce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dosaženo stanoveného účelu v souladu se žádostí.</w:t>
      </w:r>
    </w:p>
    <w:p w:rsidR="00691713" w:rsidRPr="00733671" w:rsidRDefault="00691713" w:rsidP="00691713">
      <w:pPr>
        <w:tabs>
          <w:tab w:val="left" w:pos="9214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poskytování dotace vychází poskytovatel ze skutečností a prohlášení obsažených v žádosti, přičemž podpisem této smlouvy příjemce stvrzuje pravdivost těchto skutečností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prohlášení. Kopie žádosti je přílohou č. 1 této smlouvy </w:t>
      </w:r>
      <w:r w:rsidR="003F79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tvoří její nedílnou součást. </w:t>
      </w:r>
    </w:p>
    <w:p w:rsidR="00691713" w:rsidRPr="00733671" w:rsidRDefault="00691713" w:rsidP="006917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čerpání dotace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Příjemce se zavazuje používat dotaci výhradně k účelům podle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II., a to za dále sjednaných podmínek.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Dotace může být použita na úhradu jednotlivých nákladových druhů maximálně do výše částky uvedené v žádosti v části Rozpis požadovaného finančního příspěvku dle nákladových položek.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3. Příjemce bere na vědomí, že dotaci nelze poskytnout na odpočet DPH, pokud může příjemce uplatnit nárok na odpočet DPH vůči finančnímu úřadu nebo požádat o její vrácení v souladu se zákonem č. 235/2004 Sb., o dani z přidané hodnoty, v platném a účinném znění.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je povinen vést účetnictví řádně v souladu se zákonem č. 563/1991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účetnictví, v platném a účinném znění, popř. daňovou evidenci řádně a v souladu se zákonem č. 586/1992 Sb., o daních z příjmů, v platném a účinném znění, a zavazuje se vést evidenci čerpání poskytnutí dotace odděleně od ostatního účetnictví, popř. daňové evidence. Příjemce je vždy povinen doložit evidenci čerpání dotace doklady splňujícími charakter účetních dokladů podle zákona o účetnictví, i když účetní evidenci nevede.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této podmínky je považováno za porušení závažné povinnosti ve smyslu ustanovení § 22 odst. 5 zákona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250/2000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o rozpočtových pravidlech územních rozpočtů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5. Příjemce se zavazuje použít při realizaci projektu, na který mu byla poskytnuta dotace, logo poskytovatele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 výjimkou již uskutečněných projektů)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Použití loga poskytovatele se řídí Pravidly pro užívání loga MO Plzeň 1, které upravují základní podmínky pro užívání loga MO Plzeň 1. Příjemce v této souvislosti prohlašuje, že se s příslušnými pravidly před podpisem smlouvy řádně seznámil, což mimo jiné také stvrzuje podpisem této smlouvy. 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6. Příjemce se zavazuje, že poskytnutá dotace ani její část nebudou převedeny na jinou právnickou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nebo fyzickou osobu, pokud nepůjde o úhradu spojenou s realizací účelu dotace.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této podmínky je považováno za porušení závažné povinnosti ve smyslu ustanovení § 22 odst. 5 zákona o rozpočtových pravidlech územních rozpočtů.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3F79E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7. Příjemce odpovídá za hospodárné a efektivní využití dotace, přičemž za hlavní zásadu hospodárnosti a efektivity se považují ceny v místě a čase obvyklé.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8. Příjemce se zavazuje předložit závěrečnou zprávu a celkové vyúčto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vání dotace nejpozději do 30. 11.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Závěrečná zpráva musí obsahovat označení příjemce, popis realizace projektu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celkové zhodnocení projektu, včetně podpisu statutárního orgánu.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Příjemce je povinen způsob použití dotace za účelem výše uvedeným poskytovateli prokázat při vyúčtování předložením originálů účetních dokladů prokazujících výdaje k dosažení sjednaného účelu, a to včetně účetních dokladů prokazujících zaplacení účelně vynaložených výdajů při realizaci projektu podle odstavce 1.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II. této smlouvy (výpis z bankovního účtu, výdajové pokladní doklady, faktury, dodací listy, smlouvy, paragony atp.). V této souvislosti bere příjemce na vědomí, že je povinen strpět označení předložených účetních dokladů údajem o tom, že na předmět plnění dle příslušného dokladu byla poskytnuta dotace dle této smlouvy.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Poskytnutí dotace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specifikovaná v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 bude příjemci poskytnuta nejpozději do 15 dnů od předložení závěrečné zprávy včetně kompletního doložení originálů účetních dokladů prokazujících výdaje k dosažení sjednaného účelu, a to včetně účetních dokladů prokazujících zaplacení účelně vynaložených výdajů při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 k vyúčtování dotace (viz odstavec 8. a 9.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. této smlouvy), a to bezhotovostním převodem na účet příjemce. Smluvní strany se dohodly, že dotaci je možné čerpat postupně.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ujednání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bere na vědomí, že v souvislosti s poskytováním dotace, je poskytovatel oprávněn vykonávat u příjemce veřejnosprávní finanční kontrolu podle zákona </w:t>
      </w: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č. 320/2001 Sb., o finanční kontrole ve veřejné správě a o změně některých zákonů (zákon o finanční kontrole)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, v platném a účinném znění, a dle zákona č. 255/2012 Sb., o kontrole (kontrolní řád), v platném a účinném znění, a zavazuje se poskytnout k tomu poskytovateli veškerou vyžádanou součinnost.</w:t>
      </w:r>
    </w:p>
    <w:p w:rsidR="00691713" w:rsidRPr="00733671" w:rsidRDefault="00691713" w:rsidP="00691713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Příjemce je povinen realizovat projekt, na který byla dotace poskytnuta, v souladu s předloženou žádostí a respektovat jeho strukturu, charakter a cíl.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Nesplnění této podmínky je považováno za porušení závažné povinnosti ve smyslu ustanovení § 22 odst. 5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č. 250/2000 Sb.,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rozpočtových pravidlech územních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rozpočtů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Pr="007336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. Odvod za toto porušení rozpočtové kázně se stanoví ve výši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peněžních prostředků poskytnutých ke dni porušení rozpočtové kázně.</w:t>
      </w:r>
    </w:p>
    <w:p w:rsidR="00691713" w:rsidRPr="00733671" w:rsidRDefault="00691713" w:rsidP="00691713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dále dohodly, že nesplní-li příjemce podmínku k poskytnutí dotace uvedenou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článku V. této smlouvy do 30. 11. 2017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tato skutečnost rozvazovací podmínkou platnosti a účinnosti této smlouvy ve smyslu ustanovení 548 odst. 2 občanského zákoníku. 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Příjemce je povinen oznámit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 15 dnů od vzniku každou změnu údajů uvedených v žádosti a skutečností majících vliv na její poskytnutí (zejména číslo účtu, zánik, transformaci, sloučení, změnu právní formy, zrušení s likvidací, změnu statutárních zástupců, sídla, atp.).</w:t>
      </w:r>
    </w:p>
    <w:p w:rsidR="00691713" w:rsidRPr="00733671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Pr="00733671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před zahájením čerpání dotace vzniknou na straně příjemce jakékoliv překážky bránící mu v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smlouvy, na který mu byla dotace poskytnuta, je příjemce povinen tuto skutečnost neprodleně písemně oznámit poskytovateli ve lhůtě do 30 dnů od zjištění překážky.</w:t>
      </w:r>
    </w:p>
    <w:p w:rsidR="00691713" w:rsidRPr="00733671" w:rsidRDefault="00691713" w:rsidP="0069171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prohlašuje, že: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nemá vůči poskytovateli, jeho organizačním složkám a jeho příspěvkovým organizacím žádné nezaplacen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závazky po lhůtě splatnosti, 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s poskytovatelem nebo jeho příspěvkovými organizacemi v soudním sporu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vyjma soudních sporů za zrušení správních rozhodnutí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vydaných v přenesené působnosti,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 není předmětem řízení na vyhlášení insolvence, likvidace, správy ze strany soudů, uspořádání s věřiteli nebo jiného obdobného postupu upraveného v celostátní legislativě nebo směrnicích,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není účasten řízení na vrácení předem poskytnuté dotace ze státního rozpočtu, nebo rozpočtu územně samosprávného celku. </w:t>
      </w:r>
    </w:p>
    <w:p w:rsidR="00691713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bere na vědomí, že užití prostředků z rozpočtu obce právnickou i fyzickou oso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bou podléhá režimu zákona č. 134/201</w:t>
      </w: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 Sb., 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zadávání veřejných zakázek, v platném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účinném znění, </w:t>
      </w:r>
      <w:r w:rsidRPr="002157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 Zásadám pro zadávání veřejných zakázek schváleným usnesením Zastupitelstva města Plzně. </w:t>
      </w:r>
    </w:p>
    <w:p w:rsidR="00691713" w:rsidRDefault="00691713" w:rsidP="0069171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Rozhodnutím zastupitelstva </w:t>
      </w:r>
      <w:r w:rsidRPr="0006459A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městského obvodu Plzeň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poskytovatel od této smlouvy odstoupit, pokud: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jedná nebo jednal proti zájmům poskytovatele, poškozuje nebo poškozoval dobrou pověst poskytovatele nebo se dopustil jednání vůči poskytovateli nepřátelského,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zjištěny skutečnosti, které zakládají neoprávněnost čerpání a poskytování dotace příjemcem,</w:t>
      </w:r>
    </w:p>
    <w:p w:rsidR="00691713" w:rsidRPr="004040F5" w:rsidRDefault="00691713" w:rsidP="00691713">
      <w:pPr>
        <w:pStyle w:val="Odstavecseseznamem"/>
        <w:numPr>
          <w:ilvl w:val="2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zjištěno, že žádost příjemce obsahuje nepravdivé skutečnosti nebo nepravdivé prohlášení.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040F5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takovém případě vrátí příjemce již poskytnuté finanční plnění z této smlouvy do 30 dnů od doručení usnesení zastupitelstva městského obvodu Plzeň 1 o odstoupení.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040F5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této podmínky je považováno za zadržení finančních prostředků ve smyslu ustanovení § 22 odst. 3 zákona č. 250/2000 Sb., o rozpočtových pravidlech územních rozpočtů, ve znění pozdějších předpisů. Odvod za toto porušení rozpočtové kázně se stanoví ve výši zadržených finančních prostředků. 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poskytnutá příjemci na realizaci projektu podle odstavce 1. článku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I. této smlouvy byla na základě údajů poskytnutých příjemcem vyhodnocena jako opatření nezakládající veř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ejnou podporu ve smyslu čl. 107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a násl. Smlouvy o fungování Evropské unie. Smluvní strany tak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dále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poskytovateli, a to za předpokladu, že mu byly finanční prostředky již poskytnuty. Příjemce prohlašuje, že byl s touto okolností seznámen a je s ní srozuměn.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 při vrácení dotace postupuje podle příslušných předpisů EU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rozhodnutí Evropské komise. </w:t>
      </w:r>
    </w:p>
    <w:p w:rsidR="00691713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416137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61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VII.</w:t>
      </w:r>
    </w:p>
    <w:p w:rsidR="00691713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161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Vrácení dotace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Pr="00B97585" w:rsidRDefault="00691713" w:rsidP="0069171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7585">
        <w:rPr>
          <w:rFonts w:ascii="Times New Roman" w:eastAsia="Times New Roman" w:hAnsi="Times New Roman" w:cs="Times New Roman"/>
          <w:sz w:val="24"/>
          <w:szCs w:val="24"/>
          <w:lang w:eastAsia="cs-CZ"/>
        </w:rPr>
        <w:t>Vedle jiných důvodů uvedených v této smlouvě nebo v Zásadách je příjemce povinen dotaci nebo její část vrátit i v těchto případech:</w:t>
      </w:r>
    </w:p>
    <w:p w:rsidR="00691713" w:rsidRPr="00EC4187" w:rsidRDefault="00691713" w:rsidP="00691713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nebo její část nebyla použita pro účely úhrady nákladů a způsobem uvedeným v odstavci 1. a 2. článku III. této smlouvy,</w:t>
      </w:r>
    </w:p>
    <w:p w:rsidR="00691713" w:rsidRPr="00EC4187" w:rsidRDefault="00691713" w:rsidP="00691713">
      <w:pPr>
        <w:pStyle w:val="Odstavecseseznamem"/>
        <w:numPr>
          <w:ilvl w:val="1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rozhodnutí Evropské komise podle odstavce 7. článku VI. této smlouvy. </w:t>
      </w:r>
    </w:p>
    <w:p w:rsidR="00691713" w:rsidRDefault="00691713" w:rsidP="006917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EC4187" w:rsidRDefault="00691713" w:rsidP="0069171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Nesplnění podmínek podle písm. a) a b) tohoto odstavce je považováno za zadržení finančních prostředků ve smyslu ustanovení § 22 odst. 3 zákona č. 250/2000 Sb., o rozpočtových pravidlech územních rozpočtů, ve znění pozdějších předpisů. Odvod za toto porušení rozpočtové kázně se stanoví ve výši zadržených finančních prostředků. </w:t>
      </w:r>
    </w:p>
    <w:p w:rsidR="00691713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EC4187" w:rsidRDefault="00691713" w:rsidP="0069171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vrácení dotace nebo její části podle odstavce 1. písm. a) tohoto článku je příjemce povinen finanční prostředky vrátit poskytovateli zpět na jeho bankovní účet, z něhož byly tyto finanční prostředky poskytnuty. Příjemce je povinen vrátit dotaci nebo její část bezprostředně po zjištění této skutečnosti, a to i bez písemné výzvy. Příjemce je před vrácením dotace nebo její části povinen kontaktovat poskytovatele, který příjemci sdělí variabilní symbol pro platbu. 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</w:t>
      </w: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691713" w:rsidRPr="00733671" w:rsidRDefault="00691713" w:rsidP="0069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ujednání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260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Příjemce bere na vědomí informační povinnost poskytovatele vůči veřejnosti a souhlasí se zveřejněním této smlouvy poskytovatelem. </w:t>
      </w:r>
    </w:p>
    <w:p w:rsidR="00691713" w:rsidRDefault="00691713" w:rsidP="0069171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91713" w:rsidRPr="004C0821" w:rsidRDefault="00691713" w:rsidP="00691713">
      <w:pPr>
        <w:pStyle w:val="Odstavecseseznamem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053F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berou na vědomí, že tato smlouva dle zákona č. 340/2015 Sb., o registru smluv, podléhá uveřejnění prostřednictvím registru smluv. Smluvní strany se dohodly, že smlouvu k uveřejnění prostřednictvím registru smluv zašle správci registru statut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ární město Plzeň.</w:t>
      </w:r>
    </w:p>
    <w:p w:rsidR="00691713" w:rsidRPr="00733671" w:rsidRDefault="00691713" w:rsidP="006917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6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Veškerá práva a povinnosti touto smlouvu neupravená se řídí příslušnými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platnými právními předpisy České republiky. </w:t>
      </w:r>
    </w:p>
    <w:p w:rsidR="00691713" w:rsidRPr="00917616" w:rsidRDefault="00691713" w:rsidP="0069171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je vyhotovena ve třech vyhotoveních s platností originálu, přičemž příjemce obdrží po jednom vyhotovení a poskytovatel obdrží po dvou vyhotoveních.</w:t>
      </w:r>
    </w:p>
    <w:p w:rsidR="00691713" w:rsidRPr="00733671" w:rsidRDefault="00691713" w:rsidP="0069171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Smlouvu je možno měnit či doplňovat jen písemnými a číslovanými dodatky,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podepsanými oběma smluvními stranami,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jsou nedílnou součástí této smlouvy.</w:t>
      </w:r>
    </w:p>
    <w:p w:rsidR="00691713" w:rsidRPr="00733671" w:rsidRDefault="00691713" w:rsidP="006917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53F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účinnosti dnem jejího uveřejnění prostřednictvím registru smluv dle zákona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340/2015 Sb., o registru smluv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91713" w:rsidRPr="00733671" w:rsidRDefault="00691713" w:rsidP="00691713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podpisem smlouvy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prohlašují, že si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>mlouvu před jejím podpisem přečetly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všem jejím ustanovením rozumí,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 představuje projev jejich pravé, svobodné a omylu prosté vůle, na důkaz čehož připojují své podpisy. 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91713" w:rsidRDefault="00691713" w:rsidP="00691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 č. 1 – kopie Žádosti o poskytnutí dotace </w:t>
      </w: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Plzni dne </w:t>
      </w:r>
      <w:r w:rsidR="0044003D">
        <w:rPr>
          <w:rFonts w:ascii="Times New Roman" w:eastAsia="Times New Roman" w:hAnsi="Times New Roman" w:cs="Times New Roman"/>
          <w:sz w:val="24"/>
          <w:szCs w:val="24"/>
          <w:lang w:eastAsia="cs-CZ"/>
        </w:rPr>
        <w:t>9. 5. 2017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</w:t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36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Plzni dne </w:t>
      </w:r>
      <w:r w:rsidR="00AA3C3E">
        <w:rPr>
          <w:rFonts w:ascii="Times New Roman" w:eastAsia="Times New Roman" w:hAnsi="Times New Roman" w:cs="Times New Roman"/>
          <w:sz w:val="24"/>
          <w:szCs w:val="24"/>
          <w:lang w:eastAsia="cs-CZ"/>
        </w:rPr>
        <w:t>15. 5. 2017</w:t>
      </w:r>
      <w:bookmarkStart w:id="0" w:name="_GoBack"/>
      <w:bookmarkEnd w:id="0"/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733671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1713" w:rsidRPr="00AE5D85" w:rsidRDefault="00691713" w:rsidP="0069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>.......................................…</w:t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AE5D8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...........................................</w:t>
      </w:r>
    </w:p>
    <w:p w:rsidR="00A21D6C" w:rsidRPr="00AE5D85" w:rsidRDefault="00A21D6C" w:rsidP="00A21D6C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Statutární měs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to Plzeň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proofErr w:type="gramStart"/>
      <w:r w:rsidRPr="00F7657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Ledovec, z.s.</w:t>
      </w:r>
      <w:proofErr w:type="gramEnd"/>
    </w:p>
    <w:p w:rsidR="00A21D6C" w:rsidRPr="00AE5D85" w:rsidRDefault="00A21D6C" w:rsidP="00A21D6C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Městský obvod Plzeň 1</w:t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Mgr. et Mgr. Martin Fojtíček</w:t>
      </w:r>
    </w:p>
    <w:p w:rsidR="00A21D6C" w:rsidRPr="00AE5D85" w:rsidRDefault="00A21D6C" w:rsidP="00A21D6C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</w:pP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Mgr. Miroslav Brabec</w:t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  <w:t>ředitel</w:t>
      </w:r>
    </w:p>
    <w:p w:rsidR="00691713" w:rsidRDefault="00691713" w:rsidP="00691713">
      <w:pPr>
        <w:keepNext/>
        <w:spacing w:after="0" w:line="240" w:lineRule="auto"/>
        <w:outlineLvl w:val="1"/>
      </w:pP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>starosta</w:t>
      </w:r>
      <w:r w:rsidRPr="00AE5D8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  <w:r w:rsidR="003F79E5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cs-CZ"/>
        </w:rPr>
        <w:tab/>
      </w:r>
    </w:p>
    <w:p w:rsidR="00E26631" w:rsidRDefault="00E26631"/>
    <w:sectPr w:rsidR="00E26631" w:rsidSect="005456BE">
      <w:headerReference w:type="default" r:id="rId9"/>
      <w:footerReference w:type="default" r:id="rId10"/>
      <w:pgSz w:w="11906" w:h="16838"/>
      <w:pgMar w:top="1417" w:right="1274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F7" w:rsidRDefault="005441F7">
      <w:pPr>
        <w:spacing w:after="0" w:line="240" w:lineRule="auto"/>
      </w:pPr>
      <w:r>
        <w:separator/>
      </w:r>
    </w:p>
  </w:endnote>
  <w:endnote w:type="continuationSeparator" w:id="0">
    <w:p w:rsidR="005441F7" w:rsidRDefault="0054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BE" w:rsidRDefault="00691713" w:rsidP="00684C25">
    <w:pPr>
      <w:pStyle w:val="Zpat"/>
      <w:tabs>
        <w:tab w:val="clear" w:pos="4536"/>
        <w:tab w:val="center" w:pos="4111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A3C3E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A3C3E">
      <w:rPr>
        <w:b/>
        <w:bCs/>
        <w:noProof/>
      </w:rPr>
      <w:t>6</w:t>
    </w:r>
    <w:r>
      <w:rPr>
        <w:b/>
        <w:bCs/>
      </w:rPr>
      <w:fldChar w:fldCharType="end"/>
    </w:r>
  </w:p>
  <w:p w:rsidR="000D04BE" w:rsidRDefault="00AA3C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F7" w:rsidRDefault="005441F7">
      <w:pPr>
        <w:spacing w:after="0" w:line="240" w:lineRule="auto"/>
      </w:pPr>
      <w:r>
        <w:separator/>
      </w:r>
    </w:p>
  </w:footnote>
  <w:footnote w:type="continuationSeparator" w:id="0">
    <w:p w:rsidR="005441F7" w:rsidRDefault="00544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BC" w:rsidRPr="00395B44" w:rsidRDefault="00691713" w:rsidP="002565BC">
    <w:pPr>
      <w:pStyle w:val="Zhlav"/>
      <w:rPr>
        <w:rFonts w:ascii="Times New Roman" w:hAnsi="Times New Roman" w:cs="Times New Roman"/>
        <w:sz w:val="18"/>
        <w:szCs w:val="18"/>
      </w:rPr>
    </w:pPr>
    <w:r w:rsidRPr="00395B44">
      <w:rPr>
        <w:rFonts w:ascii="Times New Roman" w:hAnsi="Times New Roman" w:cs="Times New Roman"/>
        <w:sz w:val="18"/>
        <w:szCs w:val="18"/>
      </w:rPr>
      <w:t>Statutární město Plzeň - Městský obvod Plzeň 1</w:t>
    </w:r>
    <w:r w:rsidRPr="00395B44">
      <w:rPr>
        <w:rFonts w:ascii="Times New Roman" w:hAnsi="Times New Roman" w:cs="Times New Roman"/>
        <w:sz w:val="18"/>
        <w:szCs w:val="18"/>
      </w:rPr>
      <w:tab/>
    </w:r>
    <w:r w:rsidRPr="00395B44">
      <w:rPr>
        <w:rFonts w:ascii="Times New Roman" w:hAnsi="Times New Roman" w:cs="Times New Roman"/>
        <w:sz w:val="18"/>
        <w:szCs w:val="18"/>
      </w:rPr>
      <w:tab/>
    </w:r>
    <w:proofErr w:type="gramStart"/>
    <w:r w:rsidR="00A21D6C" w:rsidRPr="00A21D6C">
      <w:rPr>
        <w:rFonts w:ascii="Times New Roman" w:hAnsi="Times New Roman" w:cs="Times New Roman"/>
        <w:sz w:val="18"/>
        <w:szCs w:val="18"/>
      </w:rPr>
      <w:t>Ledovec, z.s.</w:t>
    </w:r>
    <w:proofErr w:type="gramEnd"/>
  </w:p>
  <w:p w:rsidR="002565BC" w:rsidRPr="00395B44" w:rsidRDefault="00691713" w:rsidP="002565BC">
    <w:pPr>
      <w:pStyle w:val="Zhlav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2017/</w:t>
    </w:r>
    <w:r w:rsidR="003F79E5">
      <w:rPr>
        <w:rFonts w:ascii="Times New Roman" w:hAnsi="Times New Roman" w:cs="Times New Roman"/>
        <w:sz w:val="18"/>
        <w:szCs w:val="18"/>
      </w:rPr>
      <w:t>0025</w:t>
    </w:r>
    <w:r w:rsidR="00A21D6C">
      <w:rPr>
        <w:rFonts w:ascii="Times New Roman" w:hAnsi="Times New Roman" w:cs="Times New Roman"/>
        <w:sz w:val="18"/>
        <w:szCs w:val="18"/>
      </w:rPr>
      <w:t>76</w:t>
    </w:r>
  </w:p>
  <w:p w:rsidR="002565BC" w:rsidRDefault="00AA3C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27B9"/>
    <w:multiLevelType w:val="hybridMultilevel"/>
    <w:tmpl w:val="890CF93C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1A50EE9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366A4F"/>
    <w:multiLevelType w:val="hybridMultilevel"/>
    <w:tmpl w:val="6C64C860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8DF21C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56509"/>
    <w:multiLevelType w:val="hybridMultilevel"/>
    <w:tmpl w:val="AA3C6C2C"/>
    <w:lvl w:ilvl="0" w:tplc="D3D64A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B67D8"/>
    <w:multiLevelType w:val="hybridMultilevel"/>
    <w:tmpl w:val="7DC8F9F0"/>
    <w:lvl w:ilvl="0" w:tplc="2E8873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13"/>
    <w:rsid w:val="000D1261"/>
    <w:rsid w:val="003F79E5"/>
    <w:rsid w:val="0044003D"/>
    <w:rsid w:val="005441F7"/>
    <w:rsid w:val="005E44A1"/>
    <w:rsid w:val="00691713"/>
    <w:rsid w:val="007B7A45"/>
    <w:rsid w:val="00A21D6C"/>
    <w:rsid w:val="00AA3C3E"/>
    <w:rsid w:val="00E2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1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91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1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17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13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9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713"/>
  </w:style>
  <w:style w:type="paragraph" w:styleId="Textbubliny">
    <w:name w:val="Balloon Text"/>
    <w:basedOn w:val="Normln"/>
    <w:link w:val="TextbublinyChar"/>
    <w:uiPriority w:val="99"/>
    <w:semiHidden/>
    <w:unhideWhenUsed/>
    <w:rsid w:val="0069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917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91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1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17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13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9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713"/>
  </w:style>
  <w:style w:type="paragraph" w:styleId="Textbubliny">
    <w:name w:val="Balloon Text"/>
    <w:basedOn w:val="Normln"/>
    <w:link w:val="TextbublinyChar"/>
    <w:uiPriority w:val="99"/>
    <w:semiHidden/>
    <w:unhideWhenUsed/>
    <w:rsid w:val="0069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o1.plzen.e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2088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Levová Lucie</dc:creator>
  <cp:lastModifiedBy>Caltová Martina</cp:lastModifiedBy>
  <cp:revision>4</cp:revision>
  <cp:lastPrinted>2017-05-05T10:21:00Z</cp:lastPrinted>
  <dcterms:created xsi:type="dcterms:W3CDTF">2017-05-15T12:32:00Z</dcterms:created>
  <dcterms:modified xsi:type="dcterms:W3CDTF">2017-05-17T14:29:00Z</dcterms:modified>
</cp:coreProperties>
</file>