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9A0247">
        <w:rPr>
          <w:rFonts w:asciiTheme="minorHAnsi" w:hAnsiTheme="minorHAnsi"/>
          <w:b/>
          <w:sz w:val="28"/>
          <w:szCs w:val="28"/>
        </w:rPr>
        <w:t>00060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062E5C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062E5C">
        <w:rPr>
          <w:rFonts w:asciiTheme="minorHAnsi" w:hAnsiTheme="minorHAnsi"/>
          <w:sz w:val="22"/>
          <w:szCs w:val="22"/>
        </w:rPr>
        <w:t>Poskytovatel dotace:</w:t>
      </w:r>
    </w:p>
    <w:p w:rsidR="000A0147" w:rsidRPr="00062E5C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062E5C">
        <w:rPr>
          <w:rFonts w:asciiTheme="minorHAnsi" w:hAnsiTheme="minorHAnsi"/>
          <w:b/>
          <w:sz w:val="22"/>
          <w:szCs w:val="22"/>
        </w:rPr>
        <w:t>Statutární město Pardubice,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proofErr w:type="gramStart"/>
      <w:r w:rsidR="00EE1818">
        <w:rPr>
          <w:rFonts w:asciiTheme="minorHAnsi" w:hAnsiTheme="minorHAnsi"/>
          <w:sz w:val="22"/>
          <w:szCs w:val="22"/>
        </w:rPr>
        <w:t>Magistrátu  města</w:t>
      </w:r>
      <w:proofErr w:type="gramEnd"/>
      <w:r w:rsidR="00EE1818">
        <w:rPr>
          <w:rFonts w:asciiTheme="minorHAnsi" w:hAnsiTheme="minorHAnsi"/>
          <w:sz w:val="22"/>
          <w:szCs w:val="22"/>
        </w:rPr>
        <w:t xml:space="preserve">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062E5C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62E5C">
        <w:rPr>
          <w:rFonts w:asciiTheme="minorHAnsi" w:hAnsiTheme="minorHAnsi"/>
          <w:sz w:val="22"/>
          <w:szCs w:val="22"/>
        </w:rPr>
        <w:t>Příjemce dotace:</w:t>
      </w:r>
    </w:p>
    <w:p w:rsidR="00557514" w:rsidRDefault="004C703E" w:rsidP="0055751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Motor AG s.r.o.,</w:t>
      </w:r>
    </w:p>
    <w:p w:rsidR="00EB5E74" w:rsidRPr="00515D12" w:rsidRDefault="00557514" w:rsidP="0055751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Sídlo: </w:t>
      </w:r>
      <w:r w:rsidR="004C703E">
        <w:rPr>
          <w:rFonts w:asciiTheme="minorHAnsi" w:hAnsiTheme="minorHAnsi"/>
          <w:sz w:val="22"/>
          <w:szCs w:val="22"/>
        </w:rPr>
        <w:t>Olešnice v Orlických horách 63, 517 83</w:t>
      </w:r>
      <w:r w:rsidR="00737FDB">
        <w:rPr>
          <w:rFonts w:asciiTheme="minorHAnsi" w:hAnsiTheme="minorHAnsi"/>
          <w:sz w:val="22"/>
          <w:szCs w:val="22"/>
        </w:rPr>
        <w:t xml:space="preserve">, </w:t>
      </w:r>
      <w:r w:rsidR="00C10ABC">
        <w:rPr>
          <w:rFonts w:asciiTheme="minorHAnsi" w:hAnsiTheme="minorHAnsi"/>
          <w:sz w:val="22"/>
          <w:szCs w:val="22"/>
        </w:rPr>
        <w:t xml:space="preserve"> </w:t>
      </w:r>
      <w:r w:rsidR="00FE03BD">
        <w:rPr>
          <w:rFonts w:asciiTheme="minorHAnsi" w:hAnsiTheme="minorHAnsi"/>
          <w:sz w:val="22"/>
          <w:szCs w:val="22"/>
        </w:rPr>
        <w:t xml:space="preserve"> 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4C703E">
        <w:rPr>
          <w:rFonts w:asciiTheme="minorHAnsi" w:hAnsiTheme="minorHAnsi"/>
          <w:sz w:val="22"/>
          <w:szCs w:val="22"/>
        </w:rPr>
        <w:t>27615936,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2A5DCE"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 w:rsidR="002A5DCE"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737FDB">
        <w:rPr>
          <w:rFonts w:asciiTheme="minorHAnsi" w:hAnsiTheme="minorHAnsi"/>
          <w:sz w:val="22"/>
          <w:szCs w:val="22"/>
        </w:rPr>
        <w:t xml:space="preserve"> </w:t>
      </w:r>
      <w:r w:rsidR="004C703E">
        <w:rPr>
          <w:rFonts w:asciiTheme="minorHAnsi" w:hAnsiTheme="minorHAnsi"/>
          <w:sz w:val="22"/>
          <w:szCs w:val="22"/>
        </w:rPr>
        <w:t>2300193835/2010</w:t>
      </w:r>
      <w:r w:rsidR="00737FDB">
        <w:rPr>
          <w:rFonts w:asciiTheme="minorHAnsi" w:hAnsiTheme="minorHAnsi"/>
          <w:sz w:val="22"/>
          <w:szCs w:val="22"/>
        </w:rPr>
        <w:t xml:space="preserve"> </w:t>
      </w:r>
    </w:p>
    <w:p w:rsidR="00C10ABC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zastoupen</w:t>
      </w:r>
      <w:r w:rsidR="004C703E">
        <w:rPr>
          <w:rFonts w:asciiTheme="minorHAnsi" w:hAnsiTheme="minorHAnsi"/>
          <w:sz w:val="22"/>
          <w:szCs w:val="22"/>
        </w:rPr>
        <w:t>á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737FDB">
        <w:rPr>
          <w:rFonts w:asciiTheme="minorHAnsi" w:hAnsiTheme="minorHAnsi"/>
          <w:sz w:val="22"/>
          <w:szCs w:val="22"/>
        </w:rPr>
        <w:t xml:space="preserve"> </w:t>
      </w:r>
      <w:r w:rsidR="004C703E">
        <w:rPr>
          <w:rFonts w:asciiTheme="minorHAnsi" w:hAnsiTheme="minorHAnsi"/>
          <w:sz w:val="22"/>
          <w:szCs w:val="22"/>
        </w:rPr>
        <w:t xml:space="preserve">Martinem </w:t>
      </w:r>
      <w:proofErr w:type="spellStart"/>
      <w:r w:rsidR="004C703E">
        <w:rPr>
          <w:rFonts w:asciiTheme="minorHAnsi" w:hAnsiTheme="minorHAnsi"/>
          <w:sz w:val="22"/>
          <w:szCs w:val="22"/>
        </w:rPr>
        <w:t>Naušem</w:t>
      </w:r>
      <w:proofErr w:type="spellEnd"/>
      <w:r w:rsidR="004C703E">
        <w:rPr>
          <w:rFonts w:asciiTheme="minorHAnsi" w:hAnsiTheme="minorHAnsi"/>
          <w:sz w:val="22"/>
          <w:szCs w:val="22"/>
        </w:rPr>
        <w:t xml:space="preserve">, </w:t>
      </w:r>
      <w:r w:rsidR="00557514">
        <w:rPr>
          <w:rFonts w:asciiTheme="minorHAnsi" w:hAnsiTheme="minorHAnsi"/>
          <w:sz w:val="22"/>
          <w:szCs w:val="22"/>
        </w:rPr>
        <w:t xml:space="preserve">jednatelem společnosti </w:t>
      </w:r>
      <w:r w:rsidR="00737FDB">
        <w:rPr>
          <w:rFonts w:asciiTheme="minorHAnsi" w:hAnsiTheme="minorHAnsi"/>
          <w:sz w:val="22"/>
          <w:szCs w:val="22"/>
        </w:rPr>
        <w:t xml:space="preserve"> </w:t>
      </w:r>
      <w:r w:rsidR="00C10ABC">
        <w:rPr>
          <w:rFonts w:asciiTheme="minorHAnsi" w:hAnsiTheme="minorHAnsi"/>
          <w:sz w:val="22"/>
          <w:szCs w:val="22"/>
        </w:rPr>
        <w:t xml:space="preserve"> </w:t>
      </w:r>
    </w:p>
    <w:p w:rsidR="00EB5E74" w:rsidRPr="00BE0522" w:rsidRDefault="00C10ABC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B5E74"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</w:t>
      </w:r>
      <w:r w:rsidR="002E686C">
        <w:rPr>
          <w:rFonts w:asciiTheme="minorHAnsi" w:hAnsiTheme="minorHAnsi"/>
          <w:sz w:val="22"/>
          <w:szCs w:val="22"/>
        </w:rPr>
        <w:t xml:space="preserve"> 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C10ABC">
        <w:rPr>
          <w:rFonts w:asciiTheme="minorHAnsi" w:hAnsiTheme="minorHAnsi"/>
          <w:sz w:val="22"/>
          <w:szCs w:val="22"/>
        </w:rPr>
        <w:t xml:space="preserve">cestovního ruchu pro rok </w:t>
      </w:r>
      <w:r>
        <w:rPr>
          <w:rFonts w:asciiTheme="minorHAnsi" w:hAnsiTheme="minorHAnsi"/>
          <w:sz w:val="22"/>
          <w:szCs w:val="22"/>
        </w:rPr>
        <w:t>201</w:t>
      </w:r>
      <w:r w:rsidR="00B7536D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r w:rsidR="00DA3B85">
        <w:rPr>
          <w:rFonts w:asciiTheme="minorHAnsi" w:hAnsiTheme="minorHAnsi"/>
          <w:sz w:val="22"/>
          <w:szCs w:val="22"/>
        </w:rPr>
        <w:t>1</w:t>
      </w:r>
      <w:r w:rsidR="00B7536D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1</w:t>
      </w:r>
      <w:r w:rsidR="00322DD6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201</w:t>
      </w:r>
      <w:r w:rsidR="00B7536D">
        <w:rPr>
          <w:rFonts w:asciiTheme="minorHAnsi" w:hAnsiTheme="minorHAnsi"/>
          <w:sz w:val="22"/>
          <w:szCs w:val="22"/>
        </w:rPr>
        <w:t>6</w:t>
      </w:r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2E686C">
        <w:rPr>
          <w:rFonts w:asciiTheme="minorHAnsi" w:hAnsiTheme="minorHAnsi"/>
          <w:sz w:val="22"/>
          <w:szCs w:val="22"/>
        </w:rPr>
        <w:t xml:space="preserve"> R/451</w:t>
      </w:r>
      <w:r w:rsidR="00C10ABC">
        <w:rPr>
          <w:rFonts w:asciiTheme="minorHAnsi" w:hAnsiTheme="minorHAnsi"/>
          <w:sz w:val="22"/>
          <w:szCs w:val="22"/>
        </w:rPr>
        <w:t>4</w:t>
      </w:r>
      <w:r w:rsidR="002E686C">
        <w:rPr>
          <w:rFonts w:asciiTheme="minorHAnsi" w:hAnsiTheme="minorHAnsi"/>
          <w:sz w:val="22"/>
          <w:szCs w:val="22"/>
        </w:rPr>
        <w:t>/2016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</w:t>
      </w:r>
      <w:r w:rsidR="00FC2095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Zastupitelstvem města Pardubic dne 29. 1. 2015 usnesením č. </w:t>
      </w:r>
      <w:r w:rsidR="00DA3B85">
        <w:rPr>
          <w:rFonts w:asciiTheme="minorHAnsi" w:hAnsiTheme="minorHAnsi"/>
          <w:sz w:val="22"/>
          <w:szCs w:val="22"/>
        </w:rPr>
        <w:t>117 Z/2015</w:t>
      </w:r>
      <w:r>
        <w:rPr>
          <w:rFonts w:asciiTheme="minorHAnsi" w:hAnsiTheme="minorHAnsi"/>
          <w:sz w:val="22"/>
          <w:szCs w:val="22"/>
        </w:rPr>
        <w:t xml:space="preserve"> (Směrnice č. 2/2015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9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Default="000A0147" w:rsidP="009F35A5">
      <w:pPr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306B03">
        <w:rPr>
          <w:rFonts w:asciiTheme="minorHAnsi" w:hAnsiTheme="minorHAnsi"/>
          <w:sz w:val="22"/>
          <w:szCs w:val="22"/>
        </w:rPr>
        <w:t xml:space="preserve"> Programu podpory </w:t>
      </w:r>
      <w:r w:rsidR="00C10ABC">
        <w:rPr>
          <w:rFonts w:asciiTheme="minorHAnsi" w:hAnsiTheme="minorHAnsi"/>
          <w:sz w:val="22"/>
          <w:szCs w:val="22"/>
        </w:rPr>
        <w:t xml:space="preserve">cestovního ruchu ve výši </w:t>
      </w:r>
      <w:r w:rsidR="004C703E" w:rsidRPr="004C703E">
        <w:rPr>
          <w:rFonts w:asciiTheme="minorHAnsi" w:hAnsiTheme="minorHAnsi"/>
          <w:b/>
          <w:sz w:val="22"/>
          <w:szCs w:val="22"/>
        </w:rPr>
        <w:t>190</w:t>
      </w:r>
      <w:r w:rsidR="002E686C" w:rsidRPr="004C703E">
        <w:rPr>
          <w:rFonts w:asciiTheme="minorHAnsi" w:hAnsiTheme="minorHAnsi"/>
          <w:b/>
          <w:sz w:val="22"/>
          <w:szCs w:val="22"/>
        </w:rPr>
        <w:t>.000</w:t>
      </w:r>
      <w:r w:rsidRPr="00557514">
        <w:rPr>
          <w:rFonts w:asciiTheme="minorHAnsi" w:hAnsiTheme="minorHAnsi"/>
          <w:b/>
          <w:sz w:val="22"/>
          <w:szCs w:val="22"/>
        </w:rPr>
        <w:t xml:space="preserve"> Kč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FA2CBA" w:rsidRPr="002B39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C703E">
        <w:rPr>
          <w:rFonts w:asciiTheme="minorHAnsi" w:hAnsiTheme="minorHAnsi"/>
          <w:sz w:val="22"/>
          <w:szCs w:val="22"/>
        </w:rPr>
        <w:t>Stodevadesátt</w:t>
      </w:r>
      <w:r w:rsidR="00557514">
        <w:rPr>
          <w:rFonts w:asciiTheme="minorHAnsi" w:hAnsiTheme="minorHAnsi"/>
          <w:sz w:val="22"/>
          <w:szCs w:val="22"/>
        </w:rPr>
        <w:t>isíc</w:t>
      </w:r>
      <w:r w:rsidR="008D7FF1" w:rsidRPr="002B3971">
        <w:rPr>
          <w:rFonts w:asciiTheme="minorHAnsi" w:hAnsiTheme="minorHAnsi"/>
          <w:sz w:val="22"/>
          <w:szCs w:val="22"/>
        </w:rPr>
        <w:t>korunče</w:t>
      </w:r>
      <w:r w:rsidRPr="002B3971">
        <w:rPr>
          <w:rFonts w:asciiTheme="minorHAnsi" w:hAnsiTheme="minorHAnsi"/>
          <w:sz w:val="22"/>
          <w:szCs w:val="22"/>
        </w:rPr>
        <w:t>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2B3971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proofErr w:type="spellStart"/>
      <w:r w:rsidR="004C703E" w:rsidRPr="004C703E">
        <w:rPr>
          <w:rFonts w:asciiTheme="minorHAnsi" w:hAnsiTheme="minorHAnsi"/>
          <w:b/>
          <w:sz w:val="22"/>
          <w:szCs w:val="22"/>
        </w:rPr>
        <w:t>Fresh</w:t>
      </w:r>
      <w:proofErr w:type="spellEnd"/>
      <w:r w:rsidR="004C703E" w:rsidRPr="004C703E">
        <w:rPr>
          <w:rFonts w:asciiTheme="minorHAnsi" w:hAnsiTheme="minorHAnsi"/>
          <w:b/>
          <w:sz w:val="22"/>
          <w:szCs w:val="22"/>
        </w:rPr>
        <w:t xml:space="preserve"> Festival</w:t>
      </w:r>
      <w:r w:rsidR="00FE03BD">
        <w:rPr>
          <w:rFonts w:asciiTheme="minorHAnsi" w:hAnsiTheme="minorHAnsi"/>
          <w:sz w:val="22"/>
          <w:szCs w:val="22"/>
        </w:rPr>
        <w:t>“</w:t>
      </w:r>
      <w:r w:rsidR="00346869">
        <w:rPr>
          <w:rFonts w:asciiTheme="minorHAnsi" w:hAnsiTheme="minorHAnsi"/>
          <w:sz w:val="22"/>
          <w:szCs w:val="22"/>
        </w:rPr>
        <w:t xml:space="preserve">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557514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9F35A5" w:rsidRDefault="009F35A5" w:rsidP="009F35A5">
      <w:pPr>
        <w:jc w:val="both"/>
        <w:rPr>
          <w:rFonts w:asciiTheme="minorHAnsi" w:hAnsiTheme="minorHAnsi"/>
          <w:sz w:val="22"/>
          <w:szCs w:val="22"/>
        </w:rPr>
      </w:pPr>
    </w:p>
    <w:p w:rsidR="009F35A5" w:rsidRPr="009F35A5" w:rsidRDefault="009F35A5" w:rsidP="009F35A5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35A5">
        <w:rPr>
          <w:rFonts w:asciiTheme="minorHAnsi" w:hAnsiTheme="minorHAnsi"/>
          <w:sz w:val="22"/>
          <w:szCs w:val="22"/>
        </w:rPr>
        <w:t xml:space="preserve">Finanční prostředky shora uvedené jsou poskytovány v režimu podpory „de </w:t>
      </w:r>
      <w:proofErr w:type="spellStart"/>
      <w:r w:rsidRPr="009F35A5">
        <w:rPr>
          <w:rFonts w:asciiTheme="minorHAnsi" w:hAnsiTheme="minorHAnsi"/>
          <w:sz w:val="22"/>
          <w:szCs w:val="22"/>
        </w:rPr>
        <w:t>minimis</w:t>
      </w:r>
      <w:proofErr w:type="spellEnd"/>
      <w:r w:rsidRPr="009F35A5">
        <w:rPr>
          <w:rFonts w:asciiTheme="minorHAnsi" w:hAnsiTheme="minorHAnsi"/>
          <w:sz w:val="22"/>
          <w:szCs w:val="22"/>
        </w:rPr>
        <w:t xml:space="preserve">“, ve smyslu Nařízení Komise </w:t>
      </w:r>
      <w:r w:rsidRPr="009F35A5">
        <w:rPr>
          <w:rFonts w:asciiTheme="minorHAnsi" w:hAnsiTheme="minorHAnsi"/>
          <w:iCs/>
          <w:sz w:val="22"/>
          <w:szCs w:val="22"/>
        </w:rPr>
        <w:t xml:space="preserve">(EU) č. 1407/2013 ze dne 18. prosince 2013 o použití článků 107 a 108 Smlouvy o fungování Evropské unie na podporu de </w:t>
      </w:r>
      <w:proofErr w:type="spellStart"/>
      <w:r w:rsidRPr="009F35A5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9F35A5">
        <w:rPr>
          <w:rFonts w:asciiTheme="minorHAnsi" w:hAnsiTheme="minorHAnsi"/>
          <w:iCs/>
          <w:sz w:val="22"/>
          <w:szCs w:val="22"/>
        </w:rPr>
        <w:t xml:space="preserve"> (</w:t>
      </w:r>
      <w:proofErr w:type="spellStart"/>
      <w:r w:rsidRPr="009F35A5">
        <w:rPr>
          <w:rFonts w:asciiTheme="minorHAnsi" w:hAnsiTheme="minorHAnsi"/>
          <w:iCs/>
          <w:sz w:val="22"/>
          <w:szCs w:val="22"/>
        </w:rPr>
        <w:t>Úř</w:t>
      </w:r>
      <w:proofErr w:type="spellEnd"/>
      <w:r w:rsidRPr="009F35A5">
        <w:rPr>
          <w:rFonts w:asciiTheme="minorHAnsi" w:hAnsiTheme="minorHAnsi"/>
          <w:iCs/>
          <w:sz w:val="22"/>
          <w:szCs w:val="22"/>
        </w:rPr>
        <w:t xml:space="preserve">. </w:t>
      </w:r>
      <w:proofErr w:type="spellStart"/>
      <w:proofErr w:type="gramStart"/>
      <w:r w:rsidRPr="009F35A5">
        <w:rPr>
          <w:rFonts w:asciiTheme="minorHAnsi" w:hAnsiTheme="minorHAnsi"/>
          <w:iCs/>
          <w:sz w:val="22"/>
          <w:szCs w:val="22"/>
        </w:rPr>
        <w:t>věst</w:t>
      </w:r>
      <w:proofErr w:type="spellEnd"/>
      <w:proofErr w:type="gramEnd"/>
      <w:r w:rsidRPr="009F35A5">
        <w:rPr>
          <w:rFonts w:asciiTheme="minorHAnsi" w:hAnsiTheme="minorHAnsi"/>
          <w:iCs/>
          <w:sz w:val="22"/>
          <w:szCs w:val="22"/>
        </w:rPr>
        <w:t xml:space="preserve">. L 352, 24. 12. 2013, s. 1). </w:t>
      </w:r>
    </w:p>
    <w:p w:rsidR="009F35A5" w:rsidRPr="00153DEE" w:rsidRDefault="009F35A5" w:rsidP="009F35A5">
      <w:pPr>
        <w:ind w:left="284" w:hanging="284"/>
        <w:jc w:val="both"/>
        <w:rPr>
          <w:rFonts w:asciiTheme="minorHAnsi" w:hAnsiTheme="minorHAnsi"/>
          <w:sz w:val="22"/>
          <w:szCs w:val="22"/>
          <w:u w:val="single"/>
        </w:rPr>
      </w:pPr>
    </w:p>
    <w:p w:rsidR="009F35A5" w:rsidRPr="00153DEE" w:rsidRDefault="009F35A5" w:rsidP="009F35A5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284" w:hanging="284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Příjemce prohlašuje, že nenastaly okolnosti, které by vylučovaly aplikaci pravidla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(viz zejm. čl. 1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až 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5 Nařízení Komise /E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/ 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), zejm. že poskytnutím této dotace nedojde k takové kumulaci s jinou veřejnou podporu ohledně týchž nákladů, která by způsobila překročení povolené míry veřejné podpory, a že v posledních 3 letech mu nebyla poskytnuta podpora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, která by v součtu s podporou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poskytovanou na základě této smlouvy překročila maximální částku povolenou právními předpisy 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upravujícími oblast veřejné podpory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 (zejména Nařízením Komise /EU/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).</w:t>
      </w:r>
    </w:p>
    <w:p w:rsidR="009F35A5" w:rsidRDefault="009F35A5" w:rsidP="009F35A5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:rsidR="009F35A5" w:rsidRPr="00C01909" w:rsidRDefault="009F35A5" w:rsidP="009F35A5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1909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</w:t>
      </w:r>
      <w:r>
        <w:rPr>
          <w:rFonts w:asciiTheme="minorHAnsi" w:hAnsiTheme="minorHAnsi"/>
          <w:iCs/>
          <w:sz w:val="22"/>
          <w:szCs w:val="22"/>
        </w:rPr>
        <w:t>subjekty</w:t>
      </w:r>
      <w:r w:rsidRPr="00C01909">
        <w:rPr>
          <w:rFonts w:asciiTheme="minorHAnsi" w:hAnsiTheme="minorHAnsi"/>
          <w:iCs/>
          <w:sz w:val="22"/>
          <w:szCs w:val="22"/>
        </w:rPr>
        <w:t xml:space="preserve">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C01909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C01909">
        <w:rPr>
          <w:rFonts w:asciiTheme="minorHAnsi" w:hAnsiTheme="minorHAnsi"/>
          <w:iCs/>
          <w:sz w:val="22"/>
          <w:szCs w:val="22"/>
        </w:rPr>
        <w:t xml:space="preserve"> poskytnutou dle této smlouvy rozdělit v Centrálním registru podpor malého rozsahu. </w:t>
      </w:r>
      <w:r>
        <w:rPr>
          <w:rFonts w:asciiTheme="minorHAnsi" w:hAnsiTheme="minorHAnsi"/>
          <w:iCs/>
          <w:sz w:val="22"/>
          <w:szCs w:val="22"/>
        </w:rPr>
        <w:t xml:space="preserve">Obdobně má příjemce povinnost informovat poskytovatele v případě fúze či změně právní formy a v případě jeho zrušení s likvidací. </w:t>
      </w:r>
      <w:r w:rsidRPr="00C01909">
        <w:rPr>
          <w:rFonts w:asciiTheme="minorHAnsi" w:hAnsiTheme="minorHAnsi"/>
          <w:iCs/>
          <w:sz w:val="22"/>
          <w:szCs w:val="22"/>
        </w:rPr>
        <w:t xml:space="preserve">Při nesplnění dané povinnosti se příjemce vystavuje případnému odejmutí předmětné podpory. </w:t>
      </w:r>
    </w:p>
    <w:p w:rsidR="00BB297F" w:rsidRDefault="00BB297F" w:rsidP="004F7EA1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2B3971">
        <w:rPr>
          <w:rFonts w:asciiTheme="minorHAnsi" w:hAnsiTheme="minorHAnsi"/>
          <w:sz w:val="22"/>
          <w:szCs w:val="22"/>
        </w:rPr>
        <w:t>3</w:t>
      </w:r>
      <w:r w:rsidR="004C703E">
        <w:rPr>
          <w:rFonts w:asciiTheme="minorHAnsi" w:hAnsiTheme="minorHAnsi"/>
          <w:sz w:val="22"/>
          <w:szCs w:val="22"/>
        </w:rPr>
        <w:t>0</w:t>
      </w:r>
      <w:r w:rsidR="002B3971">
        <w:rPr>
          <w:rFonts w:asciiTheme="minorHAnsi" w:hAnsiTheme="minorHAnsi"/>
          <w:sz w:val="22"/>
          <w:szCs w:val="22"/>
        </w:rPr>
        <w:t xml:space="preserve">. </w:t>
      </w:r>
      <w:r w:rsidR="004C703E">
        <w:rPr>
          <w:rFonts w:asciiTheme="minorHAnsi" w:hAnsiTheme="minorHAnsi"/>
          <w:sz w:val="22"/>
          <w:szCs w:val="22"/>
        </w:rPr>
        <w:t>9</w:t>
      </w:r>
      <w:r w:rsidR="002B3971">
        <w:rPr>
          <w:rFonts w:asciiTheme="minorHAnsi" w:hAnsiTheme="minorHAnsi"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4F7EA1">
      <w:pPr>
        <w:jc w:val="both"/>
        <w:rPr>
          <w:rFonts w:asciiTheme="minorHAnsi" w:hAnsiTheme="minorHAnsi"/>
          <w:sz w:val="22"/>
          <w:szCs w:val="22"/>
        </w:rPr>
      </w:pPr>
    </w:p>
    <w:p w:rsidR="00B425E2" w:rsidRDefault="00B425E2" w:rsidP="004F7EA1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C703E">
        <w:rPr>
          <w:rFonts w:asciiTheme="minorHAnsi" w:hAnsiTheme="minorHAnsi"/>
          <w:sz w:val="22"/>
          <w:szCs w:val="22"/>
        </w:rPr>
        <w:t>30. 1.</w:t>
      </w:r>
      <w:r w:rsidR="002E686C">
        <w:rPr>
          <w:rFonts w:asciiTheme="minorHAnsi" w:hAnsiTheme="minorHAnsi"/>
          <w:sz w:val="22"/>
          <w:szCs w:val="22"/>
        </w:rPr>
        <w:t xml:space="preserve"> 2017</w:t>
      </w:r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686C">
        <w:rPr>
          <w:rFonts w:asciiTheme="minorHAnsi" w:hAnsiTheme="minorHAnsi"/>
          <w:sz w:val="22"/>
          <w:szCs w:val="22"/>
        </w:rPr>
        <w:t>MmP</w:t>
      </w:r>
      <w:proofErr w:type="spellEnd"/>
      <w:r w:rsidR="002E686C">
        <w:rPr>
          <w:rFonts w:asciiTheme="minorHAnsi" w:hAnsiTheme="minorHAnsi"/>
          <w:sz w:val="22"/>
          <w:szCs w:val="22"/>
        </w:rPr>
        <w:t xml:space="preserve"> </w:t>
      </w:r>
      <w:r w:rsidR="004C703E">
        <w:rPr>
          <w:rFonts w:asciiTheme="minorHAnsi" w:hAnsiTheme="minorHAnsi"/>
          <w:sz w:val="22"/>
          <w:szCs w:val="22"/>
        </w:rPr>
        <w:t>11805</w:t>
      </w:r>
      <w:r w:rsidR="002E686C">
        <w:rPr>
          <w:rFonts w:asciiTheme="minorHAnsi" w:hAnsiTheme="minorHAnsi"/>
          <w:sz w:val="22"/>
          <w:szCs w:val="22"/>
        </w:rPr>
        <w:t>/2017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 w:rsidR="00FA2CBA"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C10ABC">
        <w:rPr>
          <w:rFonts w:asciiTheme="minorHAnsi" w:hAnsiTheme="minorHAnsi"/>
          <w:sz w:val="22"/>
          <w:szCs w:val="22"/>
        </w:rPr>
        <w:t>75</w:t>
      </w:r>
      <w:r w:rsidRPr="0077759E">
        <w:rPr>
          <w:rFonts w:asciiTheme="minorHAnsi" w:hAnsiTheme="minorHAnsi"/>
          <w:sz w:val="22"/>
          <w:szCs w:val="22"/>
        </w:rPr>
        <w:t xml:space="preserve"> % z celkových vyúčtovaných uznatelných nákladů projektu,</w:t>
      </w:r>
    </w:p>
    <w:p w:rsidR="000A0147" w:rsidRPr="0077759E" w:rsidRDefault="000A0147" w:rsidP="00985DD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Pr="0077759E">
        <w:rPr>
          <w:rFonts w:asciiTheme="minorHAnsi" w:hAnsiTheme="minorHAnsi"/>
          <w:sz w:val="22"/>
          <w:szCs w:val="22"/>
        </w:rPr>
        <w:t xml:space="preserve"> 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C703E">
        <w:rPr>
          <w:rFonts w:ascii="Calibri" w:hAnsi="Calibri"/>
          <w:b/>
          <w:sz w:val="22"/>
          <w:szCs w:val="22"/>
        </w:rPr>
        <w:t xml:space="preserve">30. 9. </w:t>
      </w:r>
      <w:r w:rsidR="002B3971">
        <w:rPr>
          <w:rFonts w:ascii="Calibri" w:hAnsi="Calibri"/>
          <w:b/>
          <w:sz w:val="22"/>
          <w:szCs w:val="22"/>
        </w:rPr>
        <w:t>2017</w:t>
      </w:r>
      <w:r w:rsidRPr="00571C32">
        <w:rPr>
          <w:rFonts w:ascii="Calibri" w:hAnsi="Calibri"/>
          <w:sz w:val="22"/>
          <w:szCs w:val="22"/>
        </w:rPr>
        <w:t xml:space="preserve"> </w:t>
      </w:r>
      <w:r w:rsidRPr="00062E5C">
        <w:rPr>
          <w:rFonts w:ascii="Calibri" w:hAnsi="Calibri"/>
          <w:b/>
          <w:sz w:val="22"/>
          <w:szCs w:val="22"/>
        </w:rPr>
        <w:t>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>podpisem oprávněné osoby</w:t>
      </w:r>
      <w:r w:rsidR="001001C1" w:rsidRPr="00306B03">
        <w:rPr>
          <w:rFonts w:ascii="Calibri" w:hAnsi="Calibri"/>
          <w:sz w:val="22"/>
          <w:szCs w:val="22"/>
        </w:rPr>
        <w:t>,</w:t>
      </w:r>
      <w:r w:rsidRPr="00306B03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F874A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 w:rsidR="00557514">
        <w:rPr>
          <w:rFonts w:asciiTheme="minorHAnsi" w:hAnsiTheme="minorHAnsi"/>
          <w:sz w:val="22"/>
          <w:szCs w:val="22"/>
        </w:rPr>
        <w:t>rojevů v průběhu pořádané akce,</w:t>
      </w:r>
    </w:p>
    <w:p w:rsidR="004C703E" w:rsidRPr="00E272D5" w:rsidRDefault="004C703E" w:rsidP="004C70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t xml:space="preserve">nejpozději tři týdny před zahájením vlastní akce projektu vyzvednout si na Magistrátu města Pardubic (odbor Kancelář primátora, úsek vnějších vztahů) propagační materiály poskytovatele (např. </w:t>
      </w:r>
      <w:proofErr w:type="spellStart"/>
      <w:r w:rsidRPr="00E272D5">
        <w:rPr>
          <w:rFonts w:asciiTheme="minorHAnsi" w:hAnsiTheme="minorHAnsi"/>
          <w:sz w:val="22"/>
          <w:szCs w:val="22"/>
        </w:rPr>
        <w:t>roll</w:t>
      </w:r>
      <w:proofErr w:type="spellEnd"/>
      <w:r w:rsidRPr="00E272D5">
        <w:rPr>
          <w:rFonts w:asciiTheme="minorHAnsi" w:hAnsiTheme="minorHAnsi"/>
          <w:sz w:val="22"/>
          <w:szCs w:val="22"/>
        </w:rPr>
        <w:t xml:space="preserve">-up, banner, </w:t>
      </w:r>
      <w:proofErr w:type="spellStart"/>
      <w:r w:rsidRPr="00E272D5">
        <w:rPr>
          <w:rFonts w:asciiTheme="minorHAnsi" w:hAnsiTheme="minorHAnsi"/>
          <w:sz w:val="22"/>
          <w:szCs w:val="22"/>
        </w:rPr>
        <w:t>promovideo</w:t>
      </w:r>
      <w:proofErr w:type="spellEnd"/>
      <w:r w:rsidRPr="00E272D5">
        <w:rPr>
          <w:rFonts w:asciiTheme="minorHAnsi" w:hAnsiTheme="minorHAnsi"/>
          <w:sz w:val="22"/>
          <w:szCs w:val="22"/>
        </w:rPr>
        <w:t xml:space="preserve">, tiskoviny apod.); v případě nadstandardního požadavku příjemce na vyzvednutí většího množství propagačních materiálů poskytovatele (tj. více než 100 ks) je příjemce povinen vznést svůj požadavek nejpozději čtyři týdny před zahájením vlastní akce projektu,  </w:t>
      </w:r>
    </w:p>
    <w:p w:rsidR="004C703E" w:rsidRPr="00E272D5" w:rsidRDefault="004C703E" w:rsidP="004C70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t>umístit logo poskytovatele na všech propagačních materiálech příjemce k projektu, včetně jejich elektronické verze,</w:t>
      </w:r>
    </w:p>
    <w:p w:rsidR="004C703E" w:rsidRPr="00E272D5" w:rsidRDefault="004C703E" w:rsidP="004C70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t>nabídnout a umožnit poskytovateli bezplatně jeho vlastní prezentaci v rozsahu nejméně jedné strany v tištěných propagačních materiálech příjemce brožurového typu, jsou-li k propagaci projektu příjemce vydávány, a v dostatečném předstihu před výrobou těchto materiálů vyzvat poskytovatele k předání finální podoby propagačního motivu příjemci, který zajistí jeho vytištění do poskytnutého prostoru,</w:t>
      </w:r>
    </w:p>
    <w:p w:rsidR="004C703E" w:rsidRPr="00E272D5" w:rsidRDefault="004C703E" w:rsidP="004C70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t xml:space="preserve">zajistit sběr a v níže uvedeném termínu a formě doručit poskytovateli statistická data o počtu a složení návštěvníků akce (data budou zachycena do tabulky č. 1, kterou příjemce obdrží před vlastním zahájením akce od poskytovatele v elektronické podobě na emailovou adresu uvedenou v žádosti o poskytnutí dotace a kterou nejpozději do dvou týdnů po skončení vlastní akce projektu vyplněnou doručí v elektronické podobě na adresu: jana.fiedlerova@mmp.cz),  </w:t>
      </w:r>
    </w:p>
    <w:p w:rsidR="004C703E" w:rsidRPr="004C703E" w:rsidRDefault="004C703E" w:rsidP="004C70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t xml:space="preserve">sledovat mediální dopad a výstupy projektu (např. počet publikovaných článků, televizní spoty apod.) a v níže uvedeném termínu a formě doručit poskytovateli zjištěné informace (informace budou zachyceny do tabulky č. 2, kterou příjemce obdrží před vlastním zahájením akce od poskytovatele v elektronické podobě na emailovou adresu uvedenou v žádosti o poskytnutí dotace a kterou nejpozději do dvou týdnů po skončení vlastní akce projektu vyplněnou doručí v elektronické podobě na adresu: jana.fiedlerova@mmp.cz). </w:t>
      </w:r>
    </w:p>
    <w:p w:rsidR="004C703E" w:rsidRPr="00E272D5" w:rsidRDefault="004C703E" w:rsidP="00A662C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t>níže uvedenými způsoby napomáhat rozvoji cestovního ruchu na území statutárního města Pardubice formou spolupráce s provozovateli turistických atraktivit města, konkrétně s:</w:t>
      </w:r>
    </w:p>
    <w:p w:rsidR="004C703E" w:rsidRPr="00A662C7" w:rsidRDefault="004C703E" w:rsidP="00A662C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662C7">
        <w:rPr>
          <w:rFonts w:asciiTheme="minorHAnsi" w:hAnsiTheme="minorHAnsi"/>
          <w:sz w:val="22"/>
          <w:szCs w:val="22"/>
        </w:rPr>
        <w:t xml:space="preserve">Východočeským muzeem Pardubice („VČM“) - objekt pardubického zámku - </w:t>
      </w:r>
    </w:p>
    <w:p w:rsidR="004C703E" w:rsidRPr="00E272D5" w:rsidRDefault="004C703E" w:rsidP="00A662C7">
      <w:pPr>
        <w:ind w:left="1418"/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t xml:space="preserve">příjemce dotace se zavazuje zdarma viditelným způsobem uvést na vstupence či ve festivalovém katalogu informaci o možnosti zakoupení zvýhodněné vstupenky 1+1 zdarma na výstavu VČM „Tak jsme žili ve 20. století “ (5. 5. – 24. 9. 2017), a to po předložení platné vstupenky na </w:t>
      </w:r>
      <w:proofErr w:type="spellStart"/>
      <w:r w:rsidR="00A662C7">
        <w:rPr>
          <w:rFonts w:asciiTheme="minorHAnsi" w:hAnsiTheme="minorHAnsi"/>
          <w:sz w:val="22"/>
          <w:szCs w:val="22"/>
        </w:rPr>
        <w:t>Fresh</w:t>
      </w:r>
      <w:proofErr w:type="spellEnd"/>
      <w:r w:rsidR="00A662C7">
        <w:rPr>
          <w:rFonts w:asciiTheme="minorHAnsi" w:hAnsiTheme="minorHAnsi"/>
          <w:sz w:val="22"/>
          <w:szCs w:val="22"/>
        </w:rPr>
        <w:t xml:space="preserve"> Festival </w:t>
      </w:r>
      <w:r w:rsidRPr="00E272D5">
        <w:rPr>
          <w:rFonts w:asciiTheme="minorHAnsi" w:hAnsiTheme="minorHAnsi"/>
          <w:sz w:val="22"/>
          <w:szCs w:val="22"/>
        </w:rPr>
        <w:t>na pokladně pardubického zámku po dobu konání výstavy (nejdéle do 24. 9. 2017)</w:t>
      </w:r>
    </w:p>
    <w:p w:rsidR="004C703E" w:rsidRPr="00E272D5" w:rsidRDefault="004C703E" w:rsidP="00A662C7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lastRenderedPageBreak/>
        <w:t>Kulturním centrem Pardubice - objekt Zelené brány –</w:t>
      </w:r>
    </w:p>
    <w:p w:rsidR="004C703E" w:rsidRPr="00E272D5" w:rsidRDefault="004C703E" w:rsidP="00A662C7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t xml:space="preserve">- příjemce dotace se zavazuje zdarma viditelným způsobem uvést ve festivalovém katalogu, na webových stránkách k akci a přímo na akci moderátorským vstupem informaci o možnosti zakoupení zvýhodněné vstupenky 1+1 zdarma na turistickou atraktivitu města Zelená brána a to po předložení platné vstupenky na </w:t>
      </w:r>
      <w:proofErr w:type="spellStart"/>
      <w:r w:rsidR="00A662C7">
        <w:rPr>
          <w:rFonts w:asciiTheme="minorHAnsi" w:hAnsiTheme="minorHAnsi"/>
          <w:sz w:val="22"/>
          <w:szCs w:val="22"/>
        </w:rPr>
        <w:t>Fresh</w:t>
      </w:r>
      <w:proofErr w:type="spellEnd"/>
      <w:r w:rsidR="00A662C7">
        <w:rPr>
          <w:rFonts w:asciiTheme="minorHAnsi" w:hAnsiTheme="minorHAnsi"/>
          <w:sz w:val="22"/>
          <w:szCs w:val="22"/>
        </w:rPr>
        <w:t xml:space="preserve"> Festival</w:t>
      </w:r>
      <w:r w:rsidRPr="00E272D5">
        <w:rPr>
          <w:rFonts w:asciiTheme="minorHAnsi" w:hAnsiTheme="minorHAnsi"/>
          <w:sz w:val="22"/>
          <w:szCs w:val="22"/>
        </w:rPr>
        <w:t xml:space="preserve"> na pokladně Zelené brány v období od 17. 6. do 8. 7. 2017</w:t>
      </w:r>
    </w:p>
    <w:p w:rsidR="004C703E" w:rsidRPr="00A662C7" w:rsidRDefault="004C703E" w:rsidP="00A662C7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A662C7">
        <w:rPr>
          <w:rFonts w:asciiTheme="minorHAnsi" w:hAnsiTheme="minorHAnsi"/>
          <w:sz w:val="22"/>
          <w:szCs w:val="22"/>
        </w:rPr>
        <w:t xml:space="preserve">PAP Pardubice o.p.s. - Aquacentrum Pardubice - </w:t>
      </w:r>
    </w:p>
    <w:p w:rsidR="004C703E" w:rsidRPr="003F6C51" w:rsidRDefault="004C703E" w:rsidP="00A662C7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  <w:r w:rsidRPr="00E272D5">
        <w:rPr>
          <w:rFonts w:asciiTheme="minorHAnsi" w:hAnsiTheme="minorHAnsi"/>
          <w:sz w:val="22"/>
          <w:szCs w:val="22"/>
        </w:rPr>
        <w:t xml:space="preserve"> - příjemce dotace se zavazuje směřovat </w:t>
      </w:r>
      <w:r w:rsidRPr="003F6C51">
        <w:rPr>
          <w:rFonts w:asciiTheme="minorHAnsi" w:hAnsiTheme="minorHAnsi"/>
          <w:sz w:val="22"/>
          <w:szCs w:val="22"/>
        </w:rPr>
        <w:t xml:space="preserve">své </w:t>
      </w:r>
      <w:r>
        <w:rPr>
          <w:rFonts w:asciiTheme="minorHAnsi" w:hAnsiTheme="minorHAnsi"/>
          <w:sz w:val="22"/>
          <w:szCs w:val="22"/>
        </w:rPr>
        <w:t xml:space="preserve">úsilí </w:t>
      </w:r>
      <w:r w:rsidRPr="003F6C51">
        <w:rPr>
          <w:rFonts w:asciiTheme="minorHAnsi" w:hAnsiTheme="minorHAnsi"/>
          <w:sz w:val="22"/>
          <w:szCs w:val="22"/>
        </w:rPr>
        <w:t>k podpoře vzájemné spolupráce s provozovatelem Aquacentra Pardubice, tj. PAP Pardubice o.p.s., zejména v oblasti propagace a marketingu,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D5C35" w:rsidRPr="009F35A5" w:rsidRDefault="00ED5C35" w:rsidP="009F35A5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62BD3" w:rsidRPr="00662BD3" w:rsidRDefault="000A0147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  <w:r w:rsidR="00571C32"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0A0147" w:rsidRPr="00662BD3" w:rsidRDefault="00BC20D4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</w:t>
      </w:r>
      <w:r w:rsidR="00D67640" w:rsidRPr="00662BD3">
        <w:rPr>
          <w:rFonts w:ascii="Calibri" w:hAnsi="Calibri"/>
          <w:sz w:val="22"/>
          <w:szCs w:val="22"/>
        </w:rPr>
        <w:t>provedení</w:t>
      </w:r>
      <w:r w:rsidRPr="00662BD3">
        <w:rPr>
          <w:rFonts w:ascii="Calibri" w:hAnsi="Calibri"/>
          <w:sz w:val="22"/>
          <w:szCs w:val="22"/>
        </w:rPr>
        <w:t xml:space="preserve"> kontrol</w:t>
      </w:r>
      <w:r w:rsidR="00D67640" w:rsidRPr="00662BD3">
        <w:rPr>
          <w:rFonts w:ascii="Calibri" w:hAnsi="Calibri"/>
          <w:sz w:val="22"/>
          <w:szCs w:val="22"/>
        </w:rPr>
        <w:t>y</w:t>
      </w:r>
      <w:r w:rsidRPr="00662BD3">
        <w:rPr>
          <w:rFonts w:ascii="Calibri" w:hAnsi="Calibri"/>
          <w:sz w:val="22"/>
          <w:szCs w:val="22"/>
        </w:rPr>
        <w:t xml:space="preserve"> v místě a  čase konání</w:t>
      </w:r>
      <w:r w:rsidR="00D67640" w:rsidRPr="00662BD3">
        <w:rPr>
          <w:rFonts w:ascii="Calibri" w:hAnsi="Calibri"/>
          <w:sz w:val="22"/>
          <w:szCs w:val="22"/>
        </w:rPr>
        <w:t xml:space="preserve"> akcí</w:t>
      </w:r>
      <w:r w:rsidR="00B075D7" w:rsidRPr="00662BD3">
        <w:rPr>
          <w:rFonts w:ascii="Calibri" w:hAnsi="Calibri"/>
          <w:sz w:val="22"/>
          <w:szCs w:val="22"/>
        </w:rPr>
        <w:t xml:space="preserve"> realizovaných v rámci dotovaného projektu</w:t>
      </w:r>
      <w:r w:rsidRPr="00662BD3">
        <w:rPr>
          <w:rFonts w:ascii="Calibri" w:hAnsi="Calibri"/>
          <w:sz w:val="22"/>
          <w:szCs w:val="22"/>
        </w:rPr>
        <w:t xml:space="preserve">. 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B425E2" w:rsidRPr="009F35A5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B425E2" w:rsidRPr="00965418" w:rsidRDefault="00B425E2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4C703E">
        <w:rPr>
          <w:rFonts w:asciiTheme="minorHAnsi" w:hAnsiTheme="minorHAnsi"/>
          <w:b/>
          <w:sz w:val="22"/>
          <w:szCs w:val="22"/>
        </w:rPr>
        <w:t>0. 9. 2017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Pr="00E52AC4" w:rsidRDefault="000A0147" w:rsidP="004C703E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4C703E">
        <w:rPr>
          <w:rFonts w:asciiTheme="minorHAnsi" w:hAnsiTheme="minorHAnsi"/>
          <w:b/>
          <w:sz w:val="22"/>
          <w:szCs w:val="22"/>
        </w:rPr>
        <w:t>0. 9. 2017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4C703E">
        <w:rPr>
          <w:rFonts w:asciiTheme="minorHAnsi" w:hAnsiTheme="minorHAnsi"/>
          <w:b/>
          <w:sz w:val="22"/>
          <w:szCs w:val="22"/>
        </w:rPr>
        <w:t>0. 9.</w:t>
      </w:r>
      <w:r w:rsidR="00420D16">
        <w:rPr>
          <w:rFonts w:asciiTheme="minorHAnsi" w:hAnsiTheme="minorHAnsi"/>
          <w:b/>
          <w:sz w:val="22"/>
          <w:szCs w:val="22"/>
        </w:rPr>
        <w:t xml:space="preserve">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0C5F3F">
        <w:rPr>
          <w:rFonts w:asciiTheme="minorHAnsi" w:hAnsiTheme="minorHAnsi"/>
          <w:sz w:val="22"/>
          <w:szCs w:val="22"/>
        </w:rPr>
        <w:t>75</w:t>
      </w:r>
      <w:r>
        <w:rPr>
          <w:rFonts w:asciiTheme="minorHAnsi" w:hAnsiTheme="minorHAnsi"/>
          <w:sz w:val="22"/>
          <w:szCs w:val="22"/>
        </w:rPr>
        <w:t xml:space="preserve"> % z celkových vyúčtovaných uznatelných nákladů na projekt, je příjemce dotace povinen vrátit část poskytnuté dotace převyšující maximální stanovenou výši.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D37FC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37FCA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D37FCA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306B0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lastRenderedPageBreak/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4F7EA1" w:rsidRDefault="001E5D57" w:rsidP="004F7EA1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6037C6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AC65E8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D6764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6D384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C5300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 w:rsidR="00EC5300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EC5300">
        <w:rPr>
          <w:rFonts w:asciiTheme="minorHAnsi" w:hAnsiTheme="minorHAnsi"/>
          <w:sz w:val="22"/>
          <w:szCs w:val="22"/>
        </w:rPr>
        <w:t>y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D31897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484E8E" w:rsidRPr="009F35A5" w:rsidRDefault="000A0147" w:rsidP="009F35A5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9F35A5" w:rsidRPr="009F35A5" w:rsidRDefault="009F35A5" w:rsidP="009F35A5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projektu</w:t>
      </w: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2256B2">
        <w:rPr>
          <w:rFonts w:asciiTheme="minorHAnsi" w:hAnsiTheme="minorHAnsi"/>
          <w:sz w:val="22"/>
          <w:szCs w:val="22"/>
        </w:rPr>
        <w:t xml:space="preserve">22. 5. 2017 </w:t>
      </w:r>
      <w:bookmarkStart w:id="0" w:name="_GoBack"/>
      <w:bookmarkEnd w:id="0"/>
    </w:p>
    <w:p w:rsidR="00B425E2" w:rsidRDefault="00B425E2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B425E2" w:rsidRDefault="00B425E2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737FDB" w:rsidRDefault="00737FDB" w:rsidP="002E6D8D">
      <w:pPr>
        <w:rPr>
          <w:rFonts w:asciiTheme="minorHAnsi" w:hAnsiTheme="minorHAnsi"/>
          <w:sz w:val="22"/>
          <w:szCs w:val="22"/>
        </w:rPr>
      </w:pPr>
    </w:p>
    <w:p w:rsidR="004F7EA1" w:rsidRDefault="004F7EA1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737FDB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844BB2">
        <w:rPr>
          <w:rFonts w:asciiTheme="minorHAnsi" w:hAnsiTheme="minorHAnsi"/>
          <w:sz w:val="22"/>
          <w:szCs w:val="22"/>
        </w:rPr>
        <w:t>Liedermanová</w:t>
      </w:r>
      <w:proofErr w:type="spellEnd"/>
      <w:r w:rsidR="00FA2CBA">
        <w:rPr>
          <w:rFonts w:asciiTheme="minorHAnsi" w:hAnsiTheme="minorHAnsi"/>
          <w:sz w:val="22"/>
          <w:szCs w:val="22"/>
        </w:rPr>
        <w:tab/>
      </w:r>
      <w:r w:rsidR="00A662C7">
        <w:rPr>
          <w:rFonts w:asciiTheme="minorHAnsi" w:hAnsiTheme="minorHAnsi"/>
          <w:sz w:val="22"/>
          <w:szCs w:val="22"/>
        </w:rPr>
        <w:t xml:space="preserve">Martin Nauš </w:t>
      </w:r>
      <w:r w:rsidR="00737FDB">
        <w:rPr>
          <w:rFonts w:asciiTheme="minorHAnsi" w:hAnsiTheme="minorHAnsi"/>
          <w:sz w:val="22"/>
          <w:szCs w:val="22"/>
        </w:rPr>
        <w:t xml:space="preserve"> </w:t>
      </w:r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737FDB" w:rsidRDefault="00737FDB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737FDB" w:rsidRDefault="00737FDB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737FDB" w:rsidRDefault="00737FDB" w:rsidP="009F35A5">
      <w:pPr>
        <w:tabs>
          <w:tab w:val="center" w:pos="1843"/>
          <w:tab w:val="center" w:pos="7088"/>
        </w:tabs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</w:t>
      </w:r>
      <w:r w:rsidR="004F7EA1">
        <w:rPr>
          <w:rFonts w:asciiTheme="minorHAnsi" w:hAnsiTheme="minorHAnsi"/>
          <w:sz w:val="22"/>
          <w:szCs w:val="22"/>
        </w:rPr>
        <w:t xml:space="preserve">                  </w:t>
      </w:r>
    </w:p>
    <w:p w:rsidR="00737FDB" w:rsidRDefault="00737FDB" w:rsidP="00737FDB">
      <w:pPr>
        <w:tabs>
          <w:tab w:val="center" w:pos="1843"/>
          <w:tab w:val="center" w:pos="7088"/>
        </w:tabs>
        <w:jc w:val="right"/>
        <w:rPr>
          <w:rFonts w:asciiTheme="minorHAnsi" w:hAnsiTheme="minorHAnsi"/>
          <w:sz w:val="22"/>
          <w:szCs w:val="22"/>
        </w:rPr>
      </w:pPr>
    </w:p>
    <w:p w:rsidR="005629B3" w:rsidRPr="00515D12" w:rsidRDefault="00737FDB" w:rsidP="009F35A5">
      <w:pPr>
        <w:tabs>
          <w:tab w:val="center" w:pos="1843"/>
          <w:tab w:val="center" w:pos="7088"/>
        </w:tabs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E21A6E" w:rsidRPr="005629B3" w:rsidRDefault="000A0147" w:rsidP="00306B03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9A0247">
        <w:rPr>
          <w:rFonts w:asciiTheme="minorHAnsi" w:hAnsiTheme="minorHAnsi"/>
          <w:sz w:val="20"/>
          <w:szCs w:val="20"/>
        </w:rPr>
        <w:t>Z/1671/2017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306B03">
        <w:rPr>
          <w:rFonts w:asciiTheme="minorHAnsi" w:hAnsiTheme="minorHAnsi"/>
          <w:sz w:val="20"/>
          <w:szCs w:val="20"/>
        </w:rPr>
        <w:t>30. 3. 2017</w:t>
      </w:r>
    </w:p>
    <w:p w:rsidR="00D64D3F" w:rsidRDefault="00306B03" w:rsidP="00306B03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Bc. Petra Šnejdrová</w:t>
      </w:r>
      <w:r w:rsidR="000A0147" w:rsidRPr="009840BC">
        <w:rPr>
          <w:rFonts w:asciiTheme="minorHAnsi" w:hAnsiTheme="minorHAnsi"/>
          <w:sz w:val="20"/>
          <w:szCs w:val="20"/>
        </w:rPr>
        <w:t>, ekonomické odd</w:t>
      </w:r>
      <w:r>
        <w:rPr>
          <w:rFonts w:asciiTheme="minorHAnsi" w:hAnsiTheme="minorHAnsi"/>
          <w:sz w:val="20"/>
          <w:szCs w:val="20"/>
        </w:rPr>
        <w:t>ělení</w:t>
      </w:r>
      <w:r w:rsidR="000A0147" w:rsidRPr="009840BC">
        <w:rPr>
          <w:rFonts w:asciiTheme="minorHAnsi" w:hAnsiTheme="minorHAnsi"/>
          <w:sz w:val="20"/>
          <w:szCs w:val="20"/>
        </w:rPr>
        <w:t xml:space="preserve"> </w:t>
      </w:r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:rsidR="00D64D3F" w:rsidRDefault="00D64D3F" w:rsidP="005629B3">
      <w:pPr>
        <w:jc w:val="both"/>
        <w:rPr>
          <w:rFonts w:asciiTheme="minorHAnsi" w:hAnsiTheme="minorHAnsi"/>
          <w:sz w:val="20"/>
          <w:szCs w:val="20"/>
        </w:rPr>
      </w:pPr>
    </w:p>
    <w:p w:rsidR="00B425E2" w:rsidRDefault="00B425E2" w:rsidP="00EC5300">
      <w:pPr>
        <w:rPr>
          <w:rFonts w:asciiTheme="minorHAnsi" w:hAnsiTheme="minorHAnsi"/>
          <w:b/>
          <w:sz w:val="22"/>
          <w:szCs w:val="22"/>
        </w:rPr>
      </w:pPr>
    </w:p>
    <w:p w:rsidR="002638E3" w:rsidRDefault="002638E3" w:rsidP="00EC5300">
      <w:pPr>
        <w:rPr>
          <w:rFonts w:asciiTheme="minorHAnsi" w:hAnsiTheme="minorHAnsi"/>
          <w:b/>
          <w:sz w:val="22"/>
          <w:szCs w:val="22"/>
        </w:rPr>
      </w:pPr>
    </w:p>
    <w:p w:rsidR="002638E3" w:rsidRDefault="002638E3" w:rsidP="00EC5300">
      <w:pPr>
        <w:rPr>
          <w:rFonts w:asciiTheme="minorHAnsi" w:hAnsiTheme="minorHAnsi"/>
          <w:b/>
          <w:sz w:val="22"/>
          <w:szCs w:val="22"/>
        </w:rPr>
      </w:pPr>
    </w:p>
    <w:p w:rsidR="00D64D3F" w:rsidRDefault="00322DD6" w:rsidP="00EC5300">
      <w:pPr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lastRenderedPageBreak/>
        <w:t xml:space="preserve">Příloha č. 1 ke smlouvě o poskytnutí dotace </w:t>
      </w:r>
    </w:p>
    <w:p w:rsidR="007B27AF" w:rsidRDefault="007B27AF" w:rsidP="00EC5300">
      <w:pPr>
        <w:rPr>
          <w:rFonts w:asciiTheme="minorHAnsi" w:hAnsiTheme="minorHAnsi"/>
          <w:noProof/>
          <w:sz w:val="20"/>
          <w:szCs w:val="20"/>
        </w:rPr>
      </w:pPr>
    </w:p>
    <w:p w:rsidR="00AE3C9D" w:rsidRDefault="00AE3C9D" w:rsidP="00EC5300">
      <w:pPr>
        <w:rPr>
          <w:rFonts w:asciiTheme="minorHAnsi" w:hAnsiTheme="minorHAnsi"/>
          <w:sz w:val="20"/>
          <w:szCs w:val="20"/>
        </w:rPr>
      </w:pPr>
    </w:p>
    <w:p w:rsidR="0045606B" w:rsidRPr="00EC5300" w:rsidRDefault="00A662C7" w:rsidP="00EC5300">
      <w:pPr>
        <w:rPr>
          <w:rFonts w:asciiTheme="minorHAnsi" w:hAnsiTheme="minorHAnsi"/>
          <w:sz w:val="20"/>
          <w:szCs w:val="20"/>
        </w:rPr>
      </w:pPr>
      <w:r w:rsidRPr="00A662C7">
        <w:rPr>
          <w:noProof/>
        </w:rPr>
        <w:drawing>
          <wp:inline distT="0" distB="0" distL="0" distR="0">
            <wp:extent cx="5457825" cy="9028778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571" cy="903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06B" w:rsidRPr="00EC5300" w:rsidSect="00306B03">
      <w:headerReference w:type="default" r:id="rId11"/>
      <w:footerReference w:type="even" r:id="rId12"/>
      <w:footerReference w:type="default" r:id="rId13"/>
      <w:pgSz w:w="11907" w:h="16840" w:code="9"/>
      <w:pgMar w:top="851" w:right="1304" w:bottom="567" w:left="1304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2256B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79588"/>
      <w:docPartObj>
        <w:docPartGallery w:val="Page Numbers (Bottom of Page)"/>
        <w:docPartUnique/>
      </w:docPartObj>
    </w:sdtPr>
    <w:sdtEndPr/>
    <w:sdtContent>
      <w:p w:rsidR="00306B03" w:rsidRDefault="00306B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6B2">
          <w:rPr>
            <w:noProof/>
          </w:rPr>
          <w:t>7</w:t>
        </w:r>
        <w:r>
          <w:fldChar w:fldCharType="end"/>
        </w:r>
      </w:p>
    </w:sdtContent>
  </w:sdt>
  <w:p w:rsidR="00241A8F" w:rsidRDefault="002256B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AC" w:rsidRDefault="00BB1541" w:rsidP="00BB1541">
    <w:pPr>
      <w:pStyle w:val="Zhlav"/>
      <w:tabs>
        <w:tab w:val="clear" w:pos="4536"/>
        <w:tab w:val="clear" w:pos="9072"/>
        <w:tab w:val="left" w:pos="1560"/>
      </w:tabs>
      <w:rPr>
        <w:i/>
      </w:rPr>
    </w:pPr>
    <w:r>
      <w:rPr>
        <w:i/>
      </w:rPr>
      <w:tab/>
    </w:r>
  </w:p>
  <w:p w:rsidR="007B50AC" w:rsidRDefault="007B50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63F4BBE"/>
    <w:multiLevelType w:val="hybridMultilevel"/>
    <w:tmpl w:val="EE12E77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630FD"/>
    <w:multiLevelType w:val="hybridMultilevel"/>
    <w:tmpl w:val="C9B84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6B154860"/>
    <w:multiLevelType w:val="hybridMultilevel"/>
    <w:tmpl w:val="17186D4E"/>
    <w:lvl w:ilvl="0" w:tplc="A10CB5DE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22FAD"/>
    <w:multiLevelType w:val="hybridMultilevel"/>
    <w:tmpl w:val="557852C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874BDB"/>
    <w:multiLevelType w:val="hybridMultilevel"/>
    <w:tmpl w:val="BE30D6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7"/>
  </w:num>
  <w:num w:numId="5">
    <w:abstractNumId w:val="5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8"/>
  </w:num>
  <w:num w:numId="14">
    <w:abstractNumId w:val="3"/>
  </w:num>
  <w:num w:numId="15">
    <w:abstractNumId w:val="4"/>
  </w:num>
  <w:num w:numId="16">
    <w:abstractNumId w:val="8"/>
  </w:num>
  <w:num w:numId="17">
    <w:abstractNumId w:val="1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62E5C"/>
    <w:rsid w:val="00080349"/>
    <w:rsid w:val="000A0147"/>
    <w:rsid w:val="000C5054"/>
    <w:rsid w:val="000C5F3F"/>
    <w:rsid w:val="001001C1"/>
    <w:rsid w:val="0010704A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D0439"/>
    <w:rsid w:val="001E5D57"/>
    <w:rsid w:val="002256B2"/>
    <w:rsid w:val="00234D59"/>
    <w:rsid w:val="002638E3"/>
    <w:rsid w:val="00271822"/>
    <w:rsid w:val="0027527A"/>
    <w:rsid w:val="002806CD"/>
    <w:rsid w:val="00283DB5"/>
    <w:rsid w:val="00290BB3"/>
    <w:rsid w:val="002A5DCE"/>
    <w:rsid w:val="002B3740"/>
    <w:rsid w:val="002B3971"/>
    <w:rsid w:val="002E686C"/>
    <w:rsid w:val="002E6D8D"/>
    <w:rsid w:val="002F00F9"/>
    <w:rsid w:val="00306B03"/>
    <w:rsid w:val="00310AEF"/>
    <w:rsid w:val="00322DD6"/>
    <w:rsid w:val="00346869"/>
    <w:rsid w:val="00347987"/>
    <w:rsid w:val="003B5C4F"/>
    <w:rsid w:val="003E591D"/>
    <w:rsid w:val="003F7AC8"/>
    <w:rsid w:val="00420D16"/>
    <w:rsid w:val="0045606B"/>
    <w:rsid w:val="00467CF4"/>
    <w:rsid w:val="00484E8E"/>
    <w:rsid w:val="004B190A"/>
    <w:rsid w:val="004C2811"/>
    <w:rsid w:val="004C703E"/>
    <w:rsid w:val="004F7EA1"/>
    <w:rsid w:val="005501FD"/>
    <w:rsid w:val="00557514"/>
    <w:rsid w:val="005629B3"/>
    <w:rsid w:val="00571C32"/>
    <w:rsid w:val="005835D6"/>
    <w:rsid w:val="005A0A3E"/>
    <w:rsid w:val="005A0E57"/>
    <w:rsid w:val="005F7BF3"/>
    <w:rsid w:val="006021C0"/>
    <w:rsid w:val="006037C6"/>
    <w:rsid w:val="00604D57"/>
    <w:rsid w:val="00621543"/>
    <w:rsid w:val="00662BD3"/>
    <w:rsid w:val="00696A0E"/>
    <w:rsid w:val="006B1844"/>
    <w:rsid w:val="006D3843"/>
    <w:rsid w:val="006D5456"/>
    <w:rsid w:val="007109EF"/>
    <w:rsid w:val="00714C9F"/>
    <w:rsid w:val="00724CAC"/>
    <w:rsid w:val="00737FDB"/>
    <w:rsid w:val="00772A39"/>
    <w:rsid w:val="00775EB1"/>
    <w:rsid w:val="007A01F4"/>
    <w:rsid w:val="007B27AF"/>
    <w:rsid w:val="007B50AC"/>
    <w:rsid w:val="007B70EC"/>
    <w:rsid w:val="007C648F"/>
    <w:rsid w:val="007F765A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0247"/>
    <w:rsid w:val="009A5052"/>
    <w:rsid w:val="009C3343"/>
    <w:rsid w:val="009D60BC"/>
    <w:rsid w:val="009D694E"/>
    <w:rsid w:val="009E3FC7"/>
    <w:rsid w:val="009F35A5"/>
    <w:rsid w:val="00A16F26"/>
    <w:rsid w:val="00A2236F"/>
    <w:rsid w:val="00A24FD7"/>
    <w:rsid w:val="00A505FC"/>
    <w:rsid w:val="00A60F23"/>
    <w:rsid w:val="00A61667"/>
    <w:rsid w:val="00A662C7"/>
    <w:rsid w:val="00A973F6"/>
    <w:rsid w:val="00AA2AD7"/>
    <w:rsid w:val="00AA6D13"/>
    <w:rsid w:val="00AB00FB"/>
    <w:rsid w:val="00AB1762"/>
    <w:rsid w:val="00AC65E8"/>
    <w:rsid w:val="00AE3C9D"/>
    <w:rsid w:val="00B075D7"/>
    <w:rsid w:val="00B425E2"/>
    <w:rsid w:val="00B426A5"/>
    <w:rsid w:val="00B46E3A"/>
    <w:rsid w:val="00B7536D"/>
    <w:rsid w:val="00B9295E"/>
    <w:rsid w:val="00B92DD8"/>
    <w:rsid w:val="00BB1541"/>
    <w:rsid w:val="00BB297F"/>
    <w:rsid w:val="00BC20D4"/>
    <w:rsid w:val="00BC41E3"/>
    <w:rsid w:val="00BC5983"/>
    <w:rsid w:val="00C10ABC"/>
    <w:rsid w:val="00C8265D"/>
    <w:rsid w:val="00CD34B4"/>
    <w:rsid w:val="00CF2BB9"/>
    <w:rsid w:val="00D31897"/>
    <w:rsid w:val="00D330DD"/>
    <w:rsid w:val="00D33593"/>
    <w:rsid w:val="00D37FCA"/>
    <w:rsid w:val="00D46FC5"/>
    <w:rsid w:val="00D5347D"/>
    <w:rsid w:val="00D57654"/>
    <w:rsid w:val="00D64D3F"/>
    <w:rsid w:val="00D67640"/>
    <w:rsid w:val="00D76457"/>
    <w:rsid w:val="00DA3B85"/>
    <w:rsid w:val="00DB16DF"/>
    <w:rsid w:val="00DE74F5"/>
    <w:rsid w:val="00E10816"/>
    <w:rsid w:val="00E21A6E"/>
    <w:rsid w:val="00E77A44"/>
    <w:rsid w:val="00E85EBF"/>
    <w:rsid w:val="00EB5E74"/>
    <w:rsid w:val="00EC510D"/>
    <w:rsid w:val="00EC5300"/>
    <w:rsid w:val="00ED2D4B"/>
    <w:rsid w:val="00ED5C35"/>
    <w:rsid w:val="00EE1818"/>
    <w:rsid w:val="00EF4BE6"/>
    <w:rsid w:val="00F53D8A"/>
    <w:rsid w:val="00F5783E"/>
    <w:rsid w:val="00F63730"/>
    <w:rsid w:val="00F874AD"/>
    <w:rsid w:val="00FA2CBA"/>
    <w:rsid w:val="00FC2095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pardubi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2393-CC87-4C04-BAFB-6615477A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2799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Šnejdrová Petra</cp:lastModifiedBy>
  <cp:revision>3</cp:revision>
  <cp:lastPrinted>2016-02-10T15:10:00Z</cp:lastPrinted>
  <dcterms:created xsi:type="dcterms:W3CDTF">2017-04-25T11:29:00Z</dcterms:created>
  <dcterms:modified xsi:type="dcterms:W3CDTF">2017-05-22T06:36:00Z</dcterms:modified>
</cp:coreProperties>
</file>