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154" w:h="595" w:wrap="none" w:hAnchor="page" w:x="1332" w:y="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 w:val="0"/>
        <w:keepLines w:val="0"/>
        <w:framePr w:w="3235" w:h="677" w:wrap="none" w:hAnchor="page" w:x="8138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4"/>
        <w:keepNext w:val="0"/>
        <w:keepLines w:val="0"/>
        <w:framePr w:w="3235" w:h="677" w:wrap="none" w:hAnchor="page" w:x="8138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widowControl w:val="0"/>
        <w:spacing w:line="360" w:lineRule="exact"/>
      </w:pPr>
      <w:r>
        <w:drawing>
          <wp:anchor distT="435610" distB="0" distL="8890" distR="27305" simplePos="0" relativeHeight="62914690" behindDoc="1" locked="0" layoutInCell="1" allowOverlap="1">
            <wp:simplePos x="0" y="0"/>
            <wp:positionH relativeFrom="page">
              <wp:posOffset>5175885</wp:posOffset>
            </wp:positionH>
            <wp:positionV relativeFrom="margin">
              <wp:posOffset>435610</wp:posOffset>
            </wp:positionV>
            <wp:extent cx="2018030" cy="31686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18030" cy="3168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6" w:left="1028" w:right="527" w:bottom="2157" w:header="168" w:footer="1729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drawing>
          <wp:anchor distT="0" distB="0" distL="12700" distR="12700" simplePos="0" relativeHeight="125829378" behindDoc="0" locked="0" layoutInCell="1" allowOverlap="1">
            <wp:simplePos x="0" y="0"/>
            <wp:positionH relativeFrom="page">
              <wp:posOffset>3253105</wp:posOffset>
            </wp:positionH>
            <wp:positionV relativeFrom="paragraph">
              <wp:posOffset>114300</wp:posOffset>
            </wp:positionV>
            <wp:extent cx="1475105" cy="469265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75105" cy="46926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3"/>
        <w:gridCol w:w="6979"/>
      </w:tblGrid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3"/>
        <w:gridCol w:w="6974"/>
      </w:tblGrid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1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„Zhotovitel“}</w:t>
      </w:r>
    </w:p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704"/>
        <w:gridCol w:w="4819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Horní Paseka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Horní Paseka 46, 584 01 Ledeč nad Sázavou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Danielem Holetou, starostou obce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00579840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„Ohjednater}</w:t>
      </w:r>
    </w:p>
    <w:p>
      <w:pPr>
        <w:widowControl w:val="0"/>
        <w:spacing w:after="5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40" w:line="266" w:lineRule="auto"/>
        <w:ind w:left="30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1" w:val="left"/>
        </w:tabs>
        <w:bidi w:val="0"/>
        <w:spacing w:before="0" w:after="340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cenové nabídky přílohy č.l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 w:line="28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300" w:line="28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 w:after="30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místní pozemní komunikaci a to v úseku od křižovatky se silnicí III/12941 (Horní Paseka) po křižovatku III/I3016 (Rejčkov)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31.3.2022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30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30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30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komunikaci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11" w:left="975" w:right="1320" w:bottom="1327" w:header="883" w:footer="899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79400" distB="0" distL="0" distR="0" simplePos="0" relativeHeight="125829379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279400</wp:posOffset>
                </wp:positionV>
                <wp:extent cx="1871345" cy="25590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71345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V Jihlavě dně A.!k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6.299999999999997pt;margin-top:22.pt;width:147.34999999999999pt;height:20.149999999999999pt;z-index:-125829374;mso-wrap-distance-left:0;mso-wrap-distance-top:22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V Jihlavě dně A.!k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1945" distB="12065" distL="0" distR="0" simplePos="0" relativeHeight="125829381" behindDoc="0" locked="0" layoutInCell="1" allowOverlap="1">
                <wp:simplePos x="0" y="0"/>
                <wp:positionH relativeFrom="page">
                  <wp:posOffset>4027170</wp:posOffset>
                </wp:positionH>
                <wp:positionV relativeFrom="paragraph">
                  <wp:posOffset>321945</wp:posOffset>
                </wp:positionV>
                <wp:extent cx="1261745" cy="2012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174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Horní Pasece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7.10000000000002pt;margin-top:25.350000000000001pt;width:99.349999999999994pt;height:15.85pt;z-index:-125829372;mso-wrap-distance-left:0;mso-wrap-distance-top:25.350000000000001pt;mso-wrap-distance-right:0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Horní Pasece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2" w:after="7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68" w:left="0" w:right="0" w:bottom="196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4578350</wp:posOffset>
                </wp:positionH>
                <wp:positionV relativeFrom="paragraph">
                  <wp:posOffset>12700</wp:posOffset>
                </wp:positionV>
                <wp:extent cx="981710" cy="40259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Daniel Holeta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0.5pt;margin-top:1.pt;width:77.299999999999997pt;height:31.69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Daniel Holeta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hanging="1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68" w:left="1249" w:right="1622" w:bottom="196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1.11.2022 do 31.03.2023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49"/>
        <w:gridCol w:w="854"/>
        <w:gridCol w:w="2026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mat.js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mat.js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 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62" w:left="1265" w:right="1606" w:bottom="1362" w:header="934" w:footer="93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Základní text (3)_"/>
    <w:basedOn w:val="DefaultParagraphFont"/>
    <w:link w:val="Style8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Nadpis #2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ind w:firstLine="15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54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spacing w:after="340"/>
      <w:ind w:firstLine="30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