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Dohoda o vypořádání bezdůvodného obohacení</w:t>
      </w:r>
      <w:bookmarkEnd w:id="0"/>
      <w:bookmarkEnd w:id="1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Účastníci: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Krajská správa a údržba silnic Vysočiny, příspěvková organizace</w:t>
      </w:r>
    </w:p>
    <w:tbl>
      <w:tblPr>
        <w:tblOverlap w:val="never"/>
        <w:jc w:val="left"/>
        <w:tblLayout w:type="fixed"/>
      </w:tblPr>
      <w:tblGrid>
        <w:gridCol w:w="1627"/>
        <w:gridCol w:w="4915"/>
      </w:tblGrid>
      <w:tr>
        <w:trPr>
          <w:trHeight w:val="25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000 90 450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526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(dále jen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„KSÚSV“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nebo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„Objednatel“)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Skanska a.s.</w:t>
      </w:r>
    </w:p>
    <w:tbl>
      <w:tblPr>
        <w:tblOverlap w:val="never"/>
        <w:jc w:val="center"/>
        <w:tblLayout w:type="fixed"/>
      </w:tblPr>
      <w:tblGrid>
        <w:gridCol w:w="2083"/>
        <w:gridCol w:w="7258"/>
      </w:tblGrid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Křižíkova 682/34a, 186 00 Praha - Karlín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Zastoupená: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Františkem Kicem, oblastním manažerem a Ivo Zemánkem, vedoucím</w:t>
            </w:r>
          </w:p>
        </w:tc>
      </w:tr>
      <w:tr>
        <w:trPr>
          <w:trHeight w:val="5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přípravářem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26271303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CZ699004845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(dále jen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</w:t>
      </w:r>
    </w:p>
    <w:p>
      <w:pPr>
        <w:widowControl w:val="0"/>
        <w:spacing w:after="2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2460" w:right="0" w:hanging="24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uzavírají ve smyslu § 1746 odst. 2 zákona č. 89/2012 Sb., občanský zákoník (dále jen „OZ“), tuto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Dohodu o vypořádání bezdůvodného obohacení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(dále jen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„Dohoda“)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Článek 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Úvodní ustanovení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Dohody konstatují, že: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25. 05. 2021 byla vystavena objednávka č. 76010147, na základě které Objednatel dne 25. 05. 2021 objednal u Zhotovitele provedení výkonu, a to konkrétně takto: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99" w:val="left"/>
        </w:tabs>
        <w:bidi w:val="0"/>
        <w:spacing w:before="0" w:after="0"/>
        <w:ind w:left="7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Popis: Provedení demontáže panelů ve Skuhrově a převoz včetně montáže panelů u havárie opěrné zdi v Klášteře Základ:</w:t>
        <w:tab/>
        <w:t>82 400,- Kč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99" w:val="left"/>
        </w:tabs>
        <w:bidi w:val="0"/>
        <w:spacing w:before="0" w:after="0"/>
        <w:ind w:left="7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Sazba:</w:t>
        <w:tab/>
        <w:t>21%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099" w:val="left"/>
        </w:tabs>
        <w:bidi w:val="0"/>
        <w:spacing w:before="0" w:after="0"/>
        <w:ind w:left="7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DPH:</w:t>
        <w:tab/>
        <w:t>17 304,- Kč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78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Celk. vč. DPH: 99 704,- Kč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v souladu s vystavenou objednávkou č. 76010147 předmět plnění dodal dne 01. 06. 2021 a současně vystavil Objednateli faktury - daňové doklady č. 7641006207, VS 7641006207, znějící na částku 69 091,00 Kč, a č. 7641006494, VS 7641006494, znějící na částku 30 613,- Kč, jež mu byly ve lhůtě splatnosti zaplaceny. Tyto skutečnosti činí oba účastníci nespornými.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8" w:val="left"/>
        </w:tabs>
        <w:bidi w:val="0"/>
        <w:spacing w:before="0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výše uvedené a dále v důsledku nesplnění povinnosti k uveřejnění dotčené smlouvy dle zákona č. 340/2015 Sb., o zvláštních podmínkách účinnosti některých smluv, uveřejňování těchto smluv a o registru smluv (dále jen „ZRS“), a to ani ve lhůtě do 3 měsíců ode dne, kdy byla uzavřena, došlo k jejímu zrušení ve smyslu § 7 odst. 1 ZRS, když v důsledku této skutečnosti a dále s ohledem na skutečnosti popsané v bodu 1) a 2) tohoto článku Dohody došlo jak na straně Objednatele, tak na straně Zhotovitele ke vzniku bezdůvodného obohacení.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Článek 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Předmět Dohody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vyloučení všech pochybností se účastníci dohody dohodli na tom, že nároky z předmětného bezdůvodného obohacení, vzniklého na základě skutečností popsaných v článku I. této Dohody, budou vzájemně vyřešeny a vypořádány takto: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00" w:val="left"/>
        </w:tabs>
        <w:bidi w:val="0"/>
        <w:spacing w:before="0"/>
        <w:ind w:left="11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nárok Objednatele na vrácení uhrazené částky ve výši 99 704,00 Kč bude vypořádán tak, že Objednatel nebude Zhotoviteli vydávat předmět plnění popsaný v článku I., bodu 1) této Dohody;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00" w:val="left"/>
        </w:tabs>
        <w:bidi w:val="0"/>
        <w:spacing w:before="0"/>
        <w:ind w:left="11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současně nárok Zhotovitele na vydání dodaného předmětu plnění specifikovaného v článku I. bodu 1) této Dohody bude vypořádán tak, že Zhotovitel nebude Objednateli vracet částku ve výši 99 704,00 Kč, uhrazenou na základě faktur - daňových dokladů č. 7641006207; 7641006494;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00" w:val="left"/>
        </w:tabs>
        <w:bidi w:val="0"/>
        <w:spacing w:before="0"/>
        <w:ind w:left="110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jsou mezi účastníky jako smluvními stranami původní smlouvy, vzniklé na základě objednávky č. 76010147, upravena veškerá práva a povinnosti, týkající se dotčených nároků z předmětného bezdůvodného obohacení, a žádný z nich si tak nebude činit žádné další nároky vyplývající z uvedeného právního vztahu, než ty, které jsou popsány a vypořádány v této Dohodě.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Článek III.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Závěrečná ustanovení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12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vyhotovena v elektronické podobě, přičemž obě smluvní strany obdrží její elektronický originál.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12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se dohodli, že tato Dohoda bude uzavřena v elektronické podobě a že ji lze měnit pouze oboustranně potvrzeným ujednáním výslovně nazvaným „Dodatek k Dohodě“ a očíslovaným podle pořadových čísel.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12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výslovně souhlasí se zveřejněním celého textu této Dohody včetně podpisů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12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Dohody se rovněž dohodli, že zákonnou povinnost dle § 5 odst. 2 zákona č. 340/2015 Sb., v platném znění (zákon o registru smluv) splní Objednatel.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12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nabývá platnosti dnem podpisu posledního z účastníků a účinnosti dnem uveřejnění v informačním systému veřejné správy - Registru smluv.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0" w:val="left"/>
        </w:tabs>
        <w:bidi w:val="0"/>
        <w:spacing w:before="0" w:after="400"/>
        <w:ind w:left="72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Dohody potvrzují její autentičnost a prohlašují, že si Dohodu přečetli, s jejím obsahem souhlasí, že byla sepsána na základě pravdivých údajů, z jejich pravé a svobodné vůle a nebyla uzavřena v tísni za jednostranně nevýhodných podmínek, což stvrzují svým podpisem, resp. podpisem svého oprávněného zástupce.</w:t>
      </w:r>
    </w:p>
    <w:tbl>
      <w:tblPr>
        <w:tblOverlap w:val="never"/>
        <w:jc w:val="left"/>
        <w:tblLayout w:type="fixed"/>
      </w:tblPr>
      <w:tblGrid>
        <w:gridCol w:w="3053"/>
        <w:gridCol w:w="3101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Jihlavě,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Jihlavě, dne: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KSÚSV, p.o.: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 Skanska a.s.</w:t>
            </w:r>
          </w:p>
        </w:tc>
      </w:tr>
    </w:tbl>
    <w:p>
      <w:pPr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942" w:left="1250" w:right="1233" w:bottom="1480" w:header="0" w:footer="1052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" w:after="1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left="0" w:right="0" w:bottom="94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12700</wp:posOffset>
                </wp:positionV>
                <wp:extent cx="1136650" cy="36258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665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7.5pt;margin-top:1.pt;width:89.5pt;height:28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Radovan Necid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František Kinc oblastní manažer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42" w:left="6144" w:right="1459" w:bottom="942" w:header="0" w:footer="3" w:gutter="0"/>
          <w:cols w:num="2" w:space="97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Ivo Zemánek vedoucí přípravář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942" w:left="6144" w:right="1459" w:bottom="942" w:header="0" w:footer="3" w:gutter="0"/>
      <w:cols w:num="2" w:space="974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3416300</wp:posOffset>
              </wp:positionH>
              <wp:positionV relativeFrom="page">
                <wp:posOffset>198755</wp:posOffset>
              </wp:positionV>
              <wp:extent cx="731520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3152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General / Obecné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9.pt;margin-top:15.65pt;width:57.600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34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  <w:spacing w:line="38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26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>Microsoft Word - Dohoda o vypoYádání bezdovodného obohacení-Skanska 2022 (003) elektronicky.docx</dc:title>
  <dc:subject/>
  <dc:creator>ivo.zemanek</dc:creator>
  <cp:keywords/>
</cp:coreProperties>
</file>