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Title"/>
        <w:spacing w:line="216" w:lineRule="auto"/>
      </w:pPr>
      <w:r>
        <w:rPr/>
        <w:t>Stanovení finančních oprav za porušení povinností</w:t>
      </w:r>
      <w:r>
        <w:rPr>
          <w:spacing w:val="1"/>
        </w:rPr>
        <w:t> </w:t>
      </w:r>
      <w:r>
        <w:rPr/>
        <w:t>stanovených ve Smlouvě, sankcionovaných v souladu s</w:t>
      </w:r>
      <w:r>
        <w:rPr>
          <w:spacing w:val="1"/>
        </w:rPr>
        <w:t> </w:t>
      </w:r>
      <w:r>
        <w:rPr/>
        <w:t>článkem</w:t>
      </w:r>
      <w:r>
        <w:rPr>
          <w:spacing w:val="-6"/>
        </w:rPr>
        <w:t> </w:t>
      </w:r>
      <w:r>
        <w:rPr/>
        <w:t>VII</w:t>
      </w:r>
      <w:r>
        <w:rPr>
          <w:spacing w:val="-5"/>
        </w:rPr>
        <w:t> </w:t>
      </w:r>
      <w:r>
        <w:rPr/>
        <w:t>odst.</w:t>
      </w:r>
      <w:r>
        <w:rPr>
          <w:spacing w:val="-6"/>
        </w:rPr>
        <w:t> </w:t>
      </w:r>
      <w:r>
        <w:rPr/>
        <w:t>4,</w:t>
      </w:r>
      <w:r>
        <w:rPr>
          <w:spacing w:val="-5"/>
        </w:rPr>
        <w:t> </w:t>
      </w:r>
      <w:r>
        <w:rPr/>
        <w:t>nižším</w:t>
      </w:r>
      <w:r>
        <w:rPr>
          <w:spacing w:val="-5"/>
        </w:rPr>
        <w:t> </w:t>
      </w:r>
      <w:r>
        <w:rPr/>
        <w:t>odvodem,</w:t>
      </w:r>
      <w:r>
        <w:rPr>
          <w:spacing w:val="-6"/>
        </w:rPr>
        <w:t> </w:t>
      </w:r>
      <w:r>
        <w:rPr/>
        <w:t>než</w:t>
      </w:r>
      <w:r>
        <w:rPr>
          <w:spacing w:val="-5"/>
        </w:rPr>
        <w:t> </w:t>
      </w:r>
      <w:r>
        <w:rPr/>
        <w:t>činí</w:t>
      </w:r>
      <w:r>
        <w:rPr>
          <w:spacing w:val="-6"/>
        </w:rPr>
        <w:t> </w:t>
      </w:r>
      <w:r>
        <w:rPr/>
        <w:t>výše</w:t>
      </w:r>
      <w:r>
        <w:rPr>
          <w:spacing w:val="-5"/>
        </w:rPr>
        <w:t> </w:t>
      </w:r>
      <w:r>
        <w:rPr/>
        <w:t>porušení</w:t>
      </w:r>
      <w:r>
        <w:rPr>
          <w:spacing w:val="-85"/>
        </w:rPr>
        <w:t> </w:t>
      </w:r>
      <w:r>
        <w:rPr/>
        <w:t>rozpočtové</w:t>
      </w:r>
      <w:r>
        <w:rPr>
          <w:spacing w:val="-2"/>
        </w:rPr>
        <w:t> </w:t>
      </w:r>
      <w:r>
        <w:rPr/>
        <w:t>kázně</w:t>
      </w:r>
    </w:p>
    <w:p>
      <w:pPr>
        <w:tabs>
          <w:tab w:pos="5700" w:val="right" w:leader="none"/>
        </w:tabs>
        <w:spacing w:before="852"/>
        <w:ind w:left="180" w:right="0" w:firstLine="0"/>
        <w:jc w:val="left"/>
        <w:rPr>
          <w:sz w:val="18"/>
        </w:rPr>
      </w:pPr>
      <w:r>
        <w:rPr>
          <w:sz w:val="18"/>
        </w:rPr>
        <w:t>Evidenční</w:t>
      </w:r>
      <w:r>
        <w:rPr>
          <w:spacing w:val="-2"/>
          <w:sz w:val="18"/>
        </w:rPr>
        <w:t> </w:t>
      </w:r>
      <w:r>
        <w:rPr>
          <w:sz w:val="18"/>
        </w:rPr>
        <w:t>číslo: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2017010012</w:t>
      </w:r>
    </w:p>
    <w:p>
      <w:pPr>
        <w:tabs>
          <w:tab w:pos="4729" w:val="left" w:leader="none"/>
        </w:tabs>
        <w:spacing w:before="37"/>
        <w:ind w:left="180" w:right="0" w:firstLine="0"/>
        <w:jc w:val="left"/>
        <w:rPr>
          <w:sz w:val="18"/>
        </w:rPr>
      </w:pPr>
      <w:r>
        <w:rPr>
          <w:sz w:val="18"/>
        </w:rPr>
        <w:t>Příjemce</w:t>
      </w:r>
      <w:r>
        <w:rPr>
          <w:spacing w:val="-6"/>
          <w:sz w:val="18"/>
        </w:rPr>
        <w:t> </w:t>
      </w:r>
      <w:r>
        <w:rPr>
          <w:sz w:val="18"/>
        </w:rPr>
        <w:t>podpory:</w:t>
        <w:tab/>
        <w:t>Město</w:t>
      </w:r>
      <w:r>
        <w:rPr>
          <w:spacing w:val="-9"/>
          <w:sz w:val="18"/>
        </w:rPr>
        <w:t> </w:t>
      </w:r>
      <w:r>
        <w:rPr>
          <w:sz w:val="18"/>
        </w:rPr>
        <w:t>Slaný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"/>
        <w:gridCol w:w="1820"/>
        <w:gridCol w:w="3003"/>
        <w:gridCol w:w="3822"/>
      </w:tblGrid>
      <w:tr>
        <w:trPr>
          <w:trHeight w:val="325" w:hRule="atLeast"/>
        </w:trPr>
        <w:tc>
          <w:tcPr>
            <w:tcW w:w="455" w:type="dxa"/>
          </w:tcPr>
          <w:p>
            <w:pPr>
              <w:pStyle w:val="TableParagraph"/>
              <w:spacing w:before="16"/>
              <w:rPr>
                <w:b/>
                <w:sz w:val="18"/>
              </w:rPr>
            </w:pPr>
            <w:r>
              <w:rPr>
                <w:b/>
                <w:sz w:val="18"/>
              </w:rPr>
              <w:t>Č.</w:t>
            </w:r>
          </w:p>
        </w:tc>
        <w:tc>
          <w:tcPr>
            <w:tcW w:w="1820" w:type="dxa"/>
          </w:tcPr>
          <w:p>
            <w:pPr>
              <w:pStyle w:val="TableParagraph"/>
              <w:spacing w:before="16"/>
              <w:rPr>
                <w:b/>
                <w:sz w:val="18"/>
              </w:rPr>
            </w:pPr>
            <w:r>
              <w:rPr>
                <w:b/>
                <w:sz w:val="18"/>
              </w:rPr>
              <w:t>Podmínka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Smlouvy</w:t>
            </w:r>
          </w:p>
        </w:tc>
        <w:tc>
          <w:tcPr>
            <w:tcW w:w="3003" w:type="dxa"/>
          </w:tcPr>
          <w:p>
            <w:pPr>
              <w:pStyle w:val="TableParagraph"/>
              <w:spacing w:before="16"/>
              <w:rPr>
                <w:b/>
                <w:sz w:val="18"/>
              </w:rPr>
            </w:pPr>
            <w:r>
              <w:rPr>
                <w:b/>
                <w:sz w:val="18"/>
              </w:rPr>
              <w:t>Popis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porušení</w:t>
            </w:r>
          </w:p>
        </w:tc>
        <w:tc>
          <w:tcPr>
            <w:tcW w:w="3822" w:type="dxa"/>
          </w:tcPr>
          <w:p>
            <w:pPr>
              <w:pStyle w:val="TableParagraph"/>
              <w:spacing w:before="16"/>
              <w:rPr>
                <w:b/>
                <w:sz w:val="18"/>
              </w:rPr>
            </w:pPr>
            <w:r>
              <w:rPr>
                <w:b/>
                <w:sz w:val="18"/>
              </w:rPr>
              <w:t>Sazba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finanční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opravy</w:t>
            </w:r>
          </w:p>
        </w:tc>
      </w:tr>
      <w:tr>
        <w:trPr>
          <w:trHeight w:val="2029" w:hRule="atLeast"/>
        </w:trPr>
        <w:tc>
          <w:tcPr>
            <w:tcW w:w="455" w:type="dxa"/>
          </w:tcPr>
          <w:p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820" w:type="dxa"/>
          </w:tcPr>
          <w:p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Čl.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III.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odst.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3003" w:type="dxa"/>
          </w:tcPr>
          <w:p>
            <w:pPr>
              <w:pStyle w:val="TableParagraph"/>
              <w:spacing w:line="216" w:lineRule="auto"/>
              <w:ind w:right="300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termínu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ukončení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realizace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projektu</w:t>
            </w:r>
          </w:p>
        </w:tc>
        <w:tc>
          <w:tcPr>
            <w:tcW w:w="3822" w:type="dxa"/>
          </w:tcPr>
          <w:p>
            <w:pPr>
              <w:pStyle w:val="TableParagraph"/>
              <w:spacing w:line="216" w:lineRule="auto"/>
              <w:ind w:right="87"/>
              <w:rPr>
                <w:sz w:val="20"/>
              </w:rPr>
            </w:pPr>
            <w:r>
              <w:rPr>
                <w:sz w:val="20"/>
              </w:rPr>
              <w:t>Do 30 kalendářních dnů bez finanční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opravy, v případě prodlení trvajícího 31-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90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kalendářních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dnů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finanční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oprava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1%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 celkové částky podpory, prodlení 91-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180 kalendářních dnů finanční oprava 3%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celkové částky podpory, prodlení delší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kalendářních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dnů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finanční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oprava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5%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celkové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částky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podpory</w:t>
            </w:r>
          </w:p>
        </w:tc>
      </w:tr>
      <w:tr>
        <w:trPr>
          <w:trHeight w:val="3230" w:hRule="atLeast"/>
        </w:trPr>
        <w:tc>
          <w:tcPr>
            <w:tcW w:w="455" w:type="dxa"/>
          </w:tcPr>
          <w:p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820" w:type="dxa"/>
          </w:tcPr>
          <w:p>
            <w:pPr>
              <w:pStyle w:val="TableParagraph"/>
              <w:spacing w:line="253" w:lineRule="exact" w:before="19"/>
              <w:rPr>
                <w:sz w:val="20"/>
              </w:rPr>
            </w:pPr>
            <w:r>
              <w:rPr>
                <w:sz w:val="20"/>
              </w:rPr>
              <w:t>Čl.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III.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odst.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čl.</w:t>
            </w:r>
          </w:p>
          <w:p>
            <w:pPr>
              <w:pStyle w:val="TableParagraph"/>
              <w:spacing w:line="253" w:lineRule="exact" w:before="0"/>
              <w:rPr>
                <w:sz w:val="20"/>
              </w:rPr>
            </w:pPr>
            <w:r>
              <w:rPr>
                <w:sz w:val="20"/>
              </w:rPr>
              <w:t>V.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odst.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</w:t>
            </w:r>
          </w:p>
        </w:tc>
        <w:tc>
          <w:tcPr>
            <w:tcW w:w="3003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77" w:val="left" w:leader="none"/>
              </w:tabs>
              <w:spacing w:line="216" w:lineRule="auto" w:before="40" w:after="0"/>
              <w:ind w:left="60" w:right="214" w:firstLine="0"/>
              <w:jc w:val="left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termínu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podkladů k závěrečnému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akce.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92" w:val="left" w:leader="none"/>
              </w:tabs>
              <w:spacing w:line="216" w:lineRule="auto" w:before="2" w:after="0"/>
              <w:ind w:left="60" w:right="185" w:firstLine="0"/>
              <w:jc w:val="left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doplnění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opravě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platbu.</w:t>
            </w:r>
          </w:p>
        </w:tc>
        <w:tc>
          <w:tcPr>
            <w:tcW w:w="3822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77" w:val="left" w:leader="none"/>
              </w:tabs>
              <w:spacing w:line="216" w:lineRule="auto" w:before="40" w:after="0"/>
              <w:ind w:left="60" w:right="87" w:firstLine="0"/>
              <w:jc w:val="left"/>
              <w:rPr>
                <w:sz w:val="20"/>
              </w:rPr>
            </w:pPr>
            <w:r>
              <w:rPr>
                <w:sz w:val="20"/>
              </w:rPr>
              <w:t>Do 30 kalendářních dnů bez finanční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opravy, v případě prodlení trvajícího 31-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90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kalendářních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dnů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finanční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oprava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1%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 celkové částky podpory, prodlení 91-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180 kalendářních dnů finanční oprava 3%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celkové částky podpory, prodlení delší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180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kalendářních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dnů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finanční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oprava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5%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celkové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částky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podpory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2" w:val="left" w:leader="none"/>
              </w:tabs>
              <w:spacing w:line="216" w:lineRule="auto" w:before="5" w:after="0"/>
              <w:ind w:left="60" w:right="85" w:firstLine="0"/>
              <w:jc w:val="left"/>
              <w:rPr>
                <w:sz w:val="20"/>
              </w:rPr>
            </w:pPr>
            <w:r>
              <w:rPr>
                <w:sz w:val="20"/>
              </w:rPr>
              <w:t>lhůta k nápravě 30 dnů od vrácení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doplnění/opravě,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tj.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finanční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opravy; poté finanční oprava ve výši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0,25% z celkové částky podpory za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každých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započatých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kalendářních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dnů</w:t>
            </w:r>
          </w:p>
        </w:tc>
      </w:tr>
      <w:tr>
        <w:trPr>
          <w:trHeight w:val="590" w:hRule="atLeast"/>
        </w:trPr>
        <w:tc>
          <w:tcPr>
            <w:tcW w:w="455" w:type="dxa"/>
          </w:tcPr>
          <w:p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820" w:type="dxa"/>
          </w:tcPr>
          <w:p>
            <w:pPr>
              <w:pStyle w:val="TableParagraph"/>
              <w:spacing w:line="216" w:lineRule="auto"/>
              <w:ind w:right="86"/>
              <w:rPr>
                <w:sz w:val="20"/>
              </w:rPr>
            </w:pPr>
            <w:r>
              <w:rPr>
                <w:sz w:val="20"/>
              </w:rPr>
              <w:t>Čl.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IV.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odst.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písm.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a)</w:t>
            </w:r>
          </w:p>
        </w:tc>
        <w:tc>
          <w:tcPr>
            <w:tcW w:w="3003" w:type="dxa"/>
          </w:tcPr>
          <w:p>
            <w:pPr>
              <w:pStyle w:val="TableParagraph"/>
              <w:spacing w:line="216" w:lineRule="auto"/>
              <w:rPr>
                <w:sz w:val="20"/>
              </w:rPr>
            </w:pPr>
            <w:r>
              <w:rPr>
                <w:sz w:val="20"/>
              </w:rPr>
              <w:t>Nezajištění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řádného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stavebního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dozoru</w:t>
            </w:r>
          </w:p>
        </w:tc>
        <w:tc>
          <w:tcPr>
            <w:tcW w:w="3822" w:type="dxa"/>
          </w:tcPr>
          <w:p>
            <w:pPr>
              <w:pStyle w:val="TableParagraph"/>
              <w:spacing w:line="216" w:lineRule="auto"/>
              <w:rPr>
                <w:sz w:val="20"/>
              </w:rPr>
            </w:pPr>
            <w:r>
              <w:rPr>
                <w:sz w:val="20"/>
              </w:rPr>
              <w:t>Finanční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oprava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celkové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částky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podpory</w:t>
            </w:r>
          </w:p>
        </w:tc>
      </w:tr>
      <w:tr>
        <w:trPr>
          <w:trHeight w:val="590" w:hRule="atLeast"/>
        </w:trPr>
        <w:tc>
          <w:tcPr>
            <w:tcW w:w="455" w:type="dxa"/>
          </w:tcPr>
          <w:p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820" w:type="dxa"/>
          </w:tcPr>
          <w:p>
            <w:pPr>
              <w:pStyle w:val="TableParagraph"/>
              <w:spacing w:line="253" w:lineRule="exact" w:before="19"/>
              <w:rPr>
                <w:sz w:val="20"/>
              </w:rPr>
            </w:pPr>
            <w:r>
              <w:rPr>
                <w:sz w:val="20"/>
              </w:rPr>
              <w:t>Čl.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IV.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odst.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písm.</w:t>
            </w:r>
          </w:p>
          <w:p>
            <w:pPr>
              <w:pStyle w:val="TableParagraph"/>
              <w:spacing w:line="253" w:lineRule="exact" w:before="0"/>
              <w:rPr>
                <w:sz w:val="20"/>
              </w:rPr>
            </w:pPr>
            <w:r>
              <w:rPr>
                <w:sz w:val="20"/>
              </w:rPr>
              <w:t>h)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k)</w:t>
            </w:r>
          </w:p>
        </w:tc>
        <w:tc>
          <w:tcPr>
            <w:tcW w:w="3003" w:type="dxa"/>
          </w:tcPr>
          <w:p>
            <w:pPr>
              <w:pStyle w:val="TableParagraph"/>
              <w:spacing w:line="216" w:lineRule="auto"/>
              <w:ind w:right="253"/>
              <w:rPr>
                <w:sz w:val="20"/>
              </w:rPr>
            </w:pPr>
            <w:r>
              <w:rPr>
                <w:sz w:val="20"/>
              </w:rPr>
              <w:t>Nevedení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účetnictví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ust.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  <w:tc>
          <w:tcPr>
            <w:tcW w:w="3822" w:type="dxa"/>
          </w:tcPr>
          <w:p>
            <w:pPr>
              <w:pStyle w:val="TableParagraph"/>
              <w:spacing w:line="216" w:lineRule="auto"/>
              <w:rPr>
                <w:sz w:val="20"/>
              </w:rPr>
            </w:pPr>
            <w:r>
              <w:rPr>
                <w:sz w:val="20"/>
              </w:rPr>
              <w:t>Finanční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oprava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0,1-25%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celkové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částky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podpory.</w:t>
            </w:r>
          </w:p>
        </w:tc>
      </w:tr>
      <w:tr>
        <w:trPr>
          <w:trHeight w:val="590" w:hRule="atLeast"/>
        </w:trPr>
        <w:tc>
          <w:tcPr>
            <w:tcW w:w="455" w:type="dxa"/>
          </w:tcPr>
          <w:p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820" w:type="dxa"/>
          </w:tcPr>
          <w:p>
            <w:pPr>
              <w:pStyle w:val="TableParagraph"/>
              <w:spacing w:line="253" w:lineRule="exact" w:before="19"/>
              <w:rPr>
                <w:sz w:val="20"/>
              </w:rPr>
            </w:pPr>
            <w:r>
              <w:rPr>
                <w:sz w:val="20"/>
              </w:rPr>
              <w:t>Čl.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IV.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odst.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písm.</w:t>
            </w:r>
          </w:p>
          <w:p>
            <w:pPr>
              <w:pStyle w:val="TableParagraph"/>
              <w:spacing w:line="253" w:lineRule="exact" w:before="0"/>
              <w:rPr>
                <w:sz w:val="20"/>
              </w:rPr>
            </w:pPr>
            <w:r>
              <w:rPr>
                <w:sz w:val="20"/>
              </w:rPr>
              <w:t>l)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o)</w:t>
            </w:r>
          </w:p>
        </w:tc>
        <w:tc>
          <w:tcPr>
            <w:tcW w:w="3003" w:type="dxa"/>
          </w:tcPr>
          <w:p>
            <w:pPr>
              <w:pStyle w:val="TableParagraph"/>
              <w:spacing w:line="216" w:lineRule="auto"/>
              <w:ind w:right="85"/>
              <w:rPr>
                <w:sz w:val="20"/>
              </w:rPr>
            </w:pPr>
            <w:r>
              <w:rPr>
                <w:sz w:val="20"/>
              </w:rPr>
              <w:t>Nesplnění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spojených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kontrolou</w:t>
            </w:r>
          </w:p>
        </w:tc>
        <w:tc>
          <w:tcPr>
            <w:tcW w:w="3822" w:type="dxa"/>
          </w:tcPr>
          <w:p>
            <w:pPr>
              <w:pStyle w:val="TableParagraph"/>
              <w:spacing w:line="216" w:lineRule="auto"/>
              <w:ind w:right="74"/>
              <w:rPr>
                <w:sz w:val="20"/>
              </w:rPr>
            </w:pPr>
            <w:r>
              <w:rPr>
                <w:sz w:val="20"/>
              </w:rPr>
              <w:t>Finanční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oprava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1%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celkové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částky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podpory</w:t>
            </w:r>
          </w:p>
        </w:tc>
      </w:tr>
      <w:tr>
        <w:trPr>
          <w:trHeight w:val="830" w:hRule="atLeast"/>
        </w:trPr>
        <w:tc>
          <w:tcPr>
            <w:tcW w:w="455" w:type="dxa"/>
          </w:tcPr>
          <w:p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820" w:type="dxa"/>
          </w:tcPr>
          <w:p>
            <w:pPr>
              <w:pStyle w:val="TableParagraph"/>
              <w:spacing w:line="253" w:lineRule="exact" w:before="19"/>
              <w:rPr>
                <w:sz w:val="20"/>
              </w:rPr>
            </w:pPr>
            <w:r>
              <w:rPr>
                <w:sz w:val="20"/>
              </w:rPr>
              <w:t>Čl.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IV.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Odst.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písm.</w:t>
            </w:r>
          </w:p>
          <w:p>
            <w:pPr>
              <w:pStyle w:val="TableParagraph"/>
              <w:spacing w:line="253" w:lineRule="exact" w:before="0"/>
              <w:rPr>
                <w:sz w:val="20"/>
              </w:rPr>
            </w:pPr>
            <w:r>
              <w:rPr>
                <w:sz w:val="20"/>
              </w:rPr>
              <w:t>m)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n)</w:t>
            </w:r>
          </w:p>
        </w:tc>
        <w:tc>
          <w:tcPr>
            <w:tcW w:w="3003" w:type="dxa"/>
          </w:tcPr>
          <w:p>
            <w:pPr>
              <w:pStyle w:val="TableParagraph"/>
              <w:spacing w:line="216" w:lineRule="auto"/>
              <w:rPr>
                <w:sz w:val="20"/>
              </w:rPr>
            </w:pPr>
            <w:r>
              <w:rPr>
                <w:sz w:val="20"/>
              </w:rPr>
              <w:t>Nesplnění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některé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spojených s uchováváním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dokumentů</w:t>
            </w:r>
          </w:p>
        </w:tc>
        <w:tc>
          <w:tcPr>
            <w:tcW w:w="3822" w:type="dxa"/>
          </w:tcPr>
          <w:p>
            <w:pPr>
              <w:pStyle w:val="TableParagraph"/>
              <w:spacing w:line="216" w:lineRule="auto"/>
              <w:rPr>
                <w:sz w:val="20"/>
              </w:rPr>
            </w:pPr>
            <w:r>
              <w:rPr>
                <w:sz w:val="20"/>
              </w:rPr>
              <w:t>Finanční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oprava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0,1-25%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celkové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částky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podpory</w:t>
            </w:r>
          </w:p>
        </w:tc>
      </w:tr>
    </w:tbl>
    <w:p>
      <w:pPr>
        <w:spacing w:after="0" w:line="216" w:lineRule="auto"/>
        <w:rPr>
          <w:sz w:val="20"/>
        </w:rPr>
        <w:sectPr>
          <w:headerReference w:type="default" r:id="rId5"/>
          <w:footerReference w:type="default" r:id="rId6"/>
          <w:type w:val="continuous"/>
          <w:pgSz w:w="11900" w:h="16840"/>
          <w:pgMar w:header="817" w:footer="1849" w:top="1960" w:bottom="2040" w:left="1280" w:right="128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"/>
        <w:gridCol w:w="1820"/>
        <w:gridCol w:w="3003"/>
        <w:gridCol w:w="3822"/>
      </w:tblGrid>
      <w:tr>
        <w:trPr>
          <w:trHeight w:val="1070" w:hRule="atLeast"/>
        </w:trPr>
        <w:tc>
          <w:tcPr>
            <w:tcW w:w="455" w:type="dxa"/>
          </w:tcPr>
          <w:p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820" w:type="dxa"/>
          </w:tcPr>
          <w:p>
            <w:pPr>
              <w:pStyle w:val="TableParagraph"/>
              <w:spacing w:line="216" w:lineRule="auto"/>
              <w:ind w:right="86"/>
              <w:rPr>
                <w:sz w:val="20"/>
              </w:rPr>
            </w:pPr>
            <w:r>
              <w:rPr>
                <w:sz w:val="20"/>
              </w:rPr>
              <w:t>Čl.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IV.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odst.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písm.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p)</w:t>
            </w:r>
          </w:p>
        </w:tc>
        <w:tc>
          <w:tcPr>
            <w:tcW w:w="3003" w:type="dxa"/>
          </w:tcPr>
          <w:p>
            <w:pPr>
              <w:pStyle w:val="TableParagraph"/>
              <w:spacing w:line="216" w:lineRule="auto"/>
              <w:rPr>
                <w:sz w:val="20"/>
              </w:rPr>
            </w:pPr>
            <w:r>
              <w:rPr>
                <w:sz w:val="20"/>
              </w:rPr>
              <w:t>Nesplnění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předkládat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Fondu průběžné a závěrečné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monitorovací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zprávy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projektu</w:t>
            </w:r>
          </w:p>
        </w:tc>
        <w:tc>
          <w:tcPr>
            <w:tcW w:w="3822" w:type="dxa"/>
          </w:tcPr>
          <w:p>
            <w:pPr>
              <w:pStyle w:val="TableParagraph"/>
              <w:spacing w:line="216" w:lineRule="auto"/>
              <w:rPr>
                <w:sz w:val="20"/>
              </w:rPr>
            </w:pPr>
            <w:r>
              <w:rPr>
                <w:sz w:val="20"/>
              </w:rPr>
              <w:t>Do 30 dnů bez finanční opravy, dále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finanční oprava 0,1% z celkové částky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podpory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každou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zprávu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nedodanou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stanoveném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termínu</w:t>
            </w:r>
          </w:p>
        </w:tc>
      </w:tr>
      <w:tr>
        <w:trPr>
          <w:trHeight w:val="1070" w:hRule="atLeast"/>
        </w:trPr>
        <w:tc>
          <w:tcPr>
            <w:tcW w:w="455" w:type="dxa"/>
          </w:tcPr>
          <w:p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820" w:type="dxa"/>
          </w:tcPr>
          <w:p>
            <w:pPr>
              <w:pStyle w:val="TableParagraph"/>
              <w:spacing w:line="253" w:lineRule="exact" w:before="19"/>
              <w:rPr>
                <w:sz w:val="20"/>
              </w:rPr>
            </w:pPr>
            <w:r>
              <w:rPr>
                <w:sz w:val="20"/>
              </w:rPr>
              <w:t>Čl.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IV.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odst.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písm.</w:t>
            </w:r>
          </w:p>
          <w:p>
            <w:pPr>
              <w:pStyle w:val="TableParagraph"/>
              <w:spacing w:line="253" w:lineRule="exact" w:before="0"/>
              <w:rPr>
                <w:sz w:val="20"/>
              </w:rPr>
            </w:pPr>
            <w:r>
              <w:rPr>
                <w:sz w:val="20"/>
              </w:rPr>
              <w:t>q)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r)</w:t>
            </w:r>
          </w:p>
        </w:tc>
        <w:tc>
          <w:tcPr>
            <w:tcW w:w="3003" w:type="dxa"/>
          </w:tcPr>
          <w:p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Nesplnění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informační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povinnosti</w:t>
            </w:r>
          </w:p>
        </w:tc>
        <w:tc>
          <w:tcPr>
            <w:tcW w:w="3822" w:type="dxa"/>
          </w:tcPr>
          <w:p>
            <w:pPr>
              <w:pStyle w:val="TableParagraph"/>
              <w:spacing w:line="216" w:lineRule="auto"/>
              <w:ind w:right="138"/>
              <w:jc w:val="both"/>
              <w:rPr>
                <w:sz w:val="20"/>
              </w:rPr>
            </w:pPr>
            <w:r>
              <w:rPr>
                <w:sz w:val="20"/>
              </w:rPr>
              <w:t>Finanční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oprava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0,1-25%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celkové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podpory s výjimkou informace o rozsahu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(vícepráce),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postiženo</w:t>
            </w:r>
          </w:p>
          <w:p>
            <w:pPr>
              <w:pStyle w:val="TableParagraph"/>
              <w:spacing w:line="246" w:lineRule="exact" w:before="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čl.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VIII.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bodu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1.2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</w:tr>
      <w:tr>
        <w:trPr>
          <w:trHeight w:val="1550" w:hRule="atLeast"/>
        </w:trPr>
        <w:tc>
          <w:tcPr>
            <w:tcW w:w="455" w:type="dxa"/>
          </w:tcPr>
          <w:p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820" w:type="dxa"/>
          </w:tcPr>
          <w:p>
            <w:pPr>
              <w:pStyle w:val="TableParagraph"/>
              <w:spacing w:line="216" w:lineRule="auto"/>
              <w:ind w:right="86"/>
              <w:rPr>
                <w:sz w:val="20"/>
              </w:rPr>
            </w:pPr>
            <w:r>
              <w:rPr>
                <w:sz w:val="20"/>
              </w:rPr>
              <w:t>Čl.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IV.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odst.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písm.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v)</w:t>
            </w:r>
          </w:p>
        </w:tc>
        <w:tc>
          <w:tcPr>
            <w:tcW w:w="3003" w:type="dxa"/>
          </w:tcPr>
          <w:p>
            <w:pPr>
              <w:pStyle w:val="TableParagraph"/>
              <w:spacing w:line="216" w:lineRule="auto"/>
              <w:ind w:right="85"/>
              <w:rPr>
                <w:sz w:val="20"/>
              </w:rPr>
            </w:pPr>
            <w:r>
              <w:rPr>
                <w:sz w:val="20"/>
              </w:rPr>
              <w:t>Nesplnění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některé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souvisejících s propagací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projektu</w:t>
            </w:r>
          </w:p>
        </w:tc>
        <w:tc>
          <w:tcPr>
            <w:tcW w:w="3822" w:type="dxa"/>
          </w:tcPr>
          <w:p>
            <w:pPr>
              <w:pStyle w:val="TableParagraph"/>
              <w:spacing w:line="216" w:lineRule="auto"/>
              <w:ind w:right="74"/>
              <w:rPr>
                <w:sz w:val="20"/>
              </w:rPr>
            </w:pPr>
            <w:r>
              <w:rPr>
                <w:sz w:val="20"/>
              </w:rPr>
              <w:t>Finanční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oprava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0,1-1,2%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celkové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částky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podpory ke dni udělení sankce dle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Metodického pokynu pro publicitu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komunikaci Evropských strukturálních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investičních fondů v programovém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období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</w:tc>
      </w:tr>
      <w:tr>
        <w:trPr>
          <w:trHeight w:val="830" w:hRule="atLeast"/>
        </w:trPr>
        <w:tc>
          <w:tcPr>
            <w:tcW w:w="455" w:type="dxa"/>
          </w:tcPr>
          <w:p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820" w:type="dxa"/>
          </w:tcPr>
          <w:p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Čl.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</w:t>
            </w:r>
          </w:p>
        </w:tc>
        <w:tc>
          <w:tcPr>
            <w:tcW w:w="3003" w:type="dxa"/>
          </w:tcPr>
          <w:p>
            <w:pPr>
              <w:pStyle w:val="TableParagraph"/>
              <w:spacing w:line="216" w:lineRule="auto"/>
              <w:ind w:right="358"/>
              <w:jc w:val="both"/>
              <w:rPr>
                <w:sz w:val="20"/>
              </w:rPr>
            </w:pPr>
            <w:r>
              <w:rPr>
                <w:sz w:val="20"/>
              </w:rPr>
              <w:t>Porušení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povinnosti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zachovat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bankovní účet, trvalý příkaz 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souhlas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inkasem</w:t>
            </w:r>
          </w:p>
        </w:tc>
        <w:tc>
          <w:tcPr>
            <w:tcW w:w="3822" w:type="dxa"/>
          </w:tcPr>
          <w:p>
            <w:pPr>
              <w:pStyle w:val="TableParagraph"/>
              <w:spacing w:line="216" w:lineRule="auto"/>
              <w:rPr>
                <w:sz w:val="20"/>
              </w:rPr>
            </w:pPr>
            <w:r>
              <w:rPr>
                <w:sz w:val="20"/>
              </w:rPr>
              <w:t>Finanční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oprava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000,-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Kč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kterékoliv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povinností</w:t>
            </w:r>
          </w:p>
        </w:tc>
      </w:tr>
    </w:tbl>
    <w:sectPr>
      <w:pgSz w:w="11900" w:h="16840"/>
      <w:pgMar w:header="817" w:footer="1849" w:top="1960" w:bottom="2040" w:left="12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2pt;margin-top:738.5672pt;width:456.65pt;height:31.85pt;mso-position-horizontal-relative:page;mso-position-vertical-relative:page;z-index:-15830016" type="#_x0000_t202" id="docshape1" filled="false" stroked="false">
          <v:textbox inset="0,0,0,0">
            <w:txbxContent>
              <w:p>
                <w:pPr>
                  <w:pStyle w:val="BodyText"/>
                  <w:spacing w:line="202" w:lineRule="exact" w:before="20"/>
                  <w:ind w:left="20"/>
                </w:pPr>
                <w:r>
                  <w:rPr>
                    <w:color w:val="666666"/>
                  </w:rPr>
                  <w:t>Státní</w:t>
                </w:r>
                <w:r>
                  <w:rPr>
                    <w:color w:val="666666"/>
                    <w:spacing w:val="-6"/>
                  </w:rPr>
                  <w:t> </w:t>
                </w:r>
                <w:r>
                  <w:rPr>
                    <w:color w:val="666666"/>
                  </w:rPr>
                  <w:t>fond</w:t>
                </w:r>
                <w:r>
                  <w:rPr>
                    <w:color w:val="666666"/>
                    <w:spacing w:val="-5"/>
                  </w:rPr>
                  <w:t> </w:t>
                </w:r>
                <w:r>
                  <w:rPr>
                    <w:color w:val="666666"/>
                  </w:rPr>
                  <w:t>životního</w:t>
                </w:r>
                <w:r>
                  <w:rPr>
                    <w:color w:val="666666"/>
                    <w:spacing w:val="-6"/>
                  </w:rPr>
                  <w:t> </w:t>
                </w:r>
                <w:r>
                  <w:rPr>
                    <w:color w:val="666666"/>
                  </w:rPr>
                  <w:t>prostředí</w:t>
                </w:r>
                <w:r>
                  <w:rPr>
                    <w:color w:val="666666"/>
                    <w:spacing w:val="-5"/>
                  </w:rPr>
                  <w:t> </w:t>
                </w:r>
                <w:r>
                  <w:rPr>
                    <w:color w:val="666666"/>
                  </w:rPr>
                  <w:t>ČR,</w:t>
                </w:r>
                <w:r>
                  <w:rPr>
                    <w:color w:val="666666"/>
                    <w:spacing w:val="-6"/>
                  </w:rPr>
                  <w:t> </w:t>
                </w:r>
                <w:r>
                  <w:rPr>
                    <w:color w:val="666666"/>
                  </w:rPr>
                  <w:t>sídlo:</w:t>
                </w:r>
                <w:r>
                  <w:rPr>
                    <w:color w:val="666666"/>
                    <w:spacing w:val="-5"/>
                  </w:rPr>
                  <w:t> </w:t>
                </w:r>
                <w:r>
                  <w:rPr>
                    <w:color w:val="666666"/>
                  </w:rPr>
                  <w:t>Kaplanova</w:t>
                </w:r>
                <w:r>
                  <w:rPr>
                    <w:color w:val="666666"/>
                    <w:spacing w:val="-5"/>
                  </w:rPr>
                  <w:t> </w:t>
                </w:r>
                <w:r>
                  <w:rPr>
                    <w:color w:val="666666"/>
                  </w:rPr>
                  <w:t>1931/1,</w:t>
                </w:r>
                <w:r>
                  <w:rPr>
                    <w:color w:val="666666"/>
                    <w:spacing w:val="-6"/>
                  </w:rPr>
                  <w:t> </w:t>
                </w:r>
                <w:r>
                  <w:rPr>
                    <w:color w:val="666666"/>
                  </w:rPr>
                  <w:t>148</w:t>
                </w:r>
                <w:r>
                  <w:rPr>
                    <w:color w:val="666666"/>
                    <w:spacing w:val="-5"/>
                  </w:rPr>
                  <w:t> </w:t>
                </w:r>
                <w:r>
                  <w:rPr>
                    <w:color w:val="666666"/>
                  </w:rPr>
                  <w:t>00</w:t>
                </w:r>
                <w:r>
                  <w:rPr>
                    <w:color w:val="666666"/>
                    <w:spacing w:val="-6"/>
                  </w:rPr>
                  <w:t> </w:t>
                </w:r>
                <w:r>
                  <w:rPr>
                    <w:color w:val="666666"/>
                  </w:rPr>
                  <w:t>Praha</w:t>
                </w:r>
                <w:r>
                  <w:rPr>
                    <w:color w:val="666666"/>
                    <w:spacing w:val="-5"/>
                  </w:rPr>
                  <w:t> </w:t>
                </w:r>
                <w:r>
                  <w:rPr>
                    <w:color w:val="666666"/>
                  </w:rPr>
                  <w:t>11</w:t>
                </w:r>
              </w:p>
              <w:p>
                <w:pPr>
                  <w:pStyle w:val="BodyText"/>
                  <w:spacing w:line="216" w:lineRule="auto" w:before="7"/>
                  <w:ind w:left="20"/>
                </w:pPr>
                <w:r>
                  <w:rPr>
                    <w:color w:val="666666"/>
                  </w:rPr>
                  <w:t>Korespondenční</w:t>
                </w:r>
                <w:r>
                  <w:rPr>
                    <w:color w:val="666666"/>
                    <w:spacing w:val="-5"/>
                  </w:rPr>
                  <w:t> </w:t>
                </w:r>
                <w:r>
                  <w:rPr>
                    <w:color w:val="666666"/>
                  </w:rPr>
                  <w:t>a</w:t>
                </w:r>
                <w:r>
                  <w:rPr>
                    <w:color w:val="666666"/>
                    <w:spacing w:val="-5"/>
                  </w:rPr>
                  <w:t> </w:t>
                </w:r>
                <w:r>
                  <w:rPr>
                    <w:color w:val="666666"/>
                  </w:rPr>
                  <w:t>kontaktní</w:t>
                </w:r>
                <w:r>
                  <w:rPr>
                    <w:color w:val="666666"/>
                    <w:spacing w:val="-4"/>
                  </w:rPr>
                  <w:t> </w:t>
                </w:r>
                <w:r>
                  <w:rPr>
                    <w:color w:val="666666"/>
                  </w:rPr>
                  <w:t>adresa:</w:t>
                </w:r>
                <w:r>
                  <w:rPr>
                    <w:color w:val="666666"/>
                    <w:spacing w:val="-5"/>
                  </w:rPr>
                  <w:t> </w:t>
                </w:r>
                <w:r>
                  <w:rPr>
                    <w:color w:val="666666"/>
                  </w:rPr>
                  <w:t>Olbrachtova</w:t>
                </w:r>
                <w:r>
                  <w:rPr>
                    <w:color w:val="666666"/>
                    <w:spacing w:val="-4"/>
                  </w:rPr>
                  <w:t> </w:t>
                </w:r>
                <w:r>
                  <w:rPr>
                    <w:color w:val="666666"/>
                  </w:rPr>
                  <w:t>2006/9,</w:t>
                </w:r>
                <w:r>
                  <w:rPr>
                    <w:color w:val="666666"/>
                    <w:spacing w:val="-5"/>
                  </w:rPr>
                  <w:t> </w:t>
                </w:r>
                <w:r>
                  <w:rPr>
                    <w:color w:val="666666"/>
                  </w:rPr>
                  <w:t>140</w:t>
                </w:r>
                <w:r>
                  <w:rPr>
                    <w:color w:val="666666"/>
                    <w:spacing w:val="-4"/>
                  </w:rPr>
                  <w:t> </w:t>
                </w:r>
                <w:r>
                  <w:rPr>
                    <w:color w:val="666666"/>
                  </w:rPr>
                  <w:t>00</w:t>
                </w:r>
                <w:r>
                  <w:rPr>
                    <w:color w:val="666666"/>
                    <w:spacing w:val="-5"/>
                  </w:rPr>
                  <w:t> </w:t>
                </w:r>
                <w:r>
                  <w:rPr>
                    <w:color w:val="666666"/>
                  </w:rPr>
                  <w:t>Praha</w:t>
                </w:r>
                <w:r>
                  <w:rPr>
                    <w:color w:val="666666"/>
                    <w:spacing w:val="-5"/>
                  </w:rPr>
                  <w:t> </w:t>
                </w:r>
                <w:r>
                  <w:rPr>
                    <w:color w:val="666666"/>
                  </w:rPr>
                  <w:t>4,</w:t>
                </w:r>
                <w:r>
                  <w:rPr>
                    <w:color w:val="666666"/>
                    <w:spacing w:val="-4"/>
                  </w:rPr>
                  <w:t> </w:t>
                </w:r>
                <w:r>
                  <w:rPr>
                    <w:color w:val="666666"/>
                  </w:rPr>
                  <w:t>T:</w:t>
                </w:r>
                <w:r>
                  <w:rPr>
                    <w:color w:val="666666"/>
                    <w:spacing w:val="-5"/>
                  </w:rPr>
                  <w:t> </w:t>
                </w:r>
                <w:r>
                  <w:rPr>
                    <w:color w:val="666666"/>
                  </w:rPr>
                  <w:t>+420</w:t>
                </w:r>
                <w:r>
                  <w:rPr>
                    <w:color w:val="666666"/>
                    <w:spacing w:val="-4"/>
                  </w:rPr>
                  <w:t> </w:t>
                </w:r>
                <w:r>
                  <w:rPr>
                    <w:color w:val="666666"/>
                  </w:rPr>
                  <w:t>267</w:t>
                </w:r>
                <w:r>
                  <w:rPr>
                    <w:color w:val="666666"/>
                    <w:spacing w:val="-5"/>
                  </w:rPr>
                  <w:t> </w:t>
                </w:r>
                <w:r>
                  <w:rPr>
                    <w:color w:val="666666"/>
                  </w:rPr>
                  <w:t>994</w:t>
                </w:r>
                <w:r>
                  <w:rPr>
                    <w:color w:val="666666"/>
                    <w:spacing w:val="-4"/>
                  </w:rPr>
                  <w:t> </w:t>
                </w:r>
                <w:r>
                  <w:rPr>
                    <w:color w:val="666666"/>
                  </w:rPr>
                  <w:t>300,</w:t>
                </w:r>
                <w:r>
                  <w:rPr>
                    <w:color w:val="666666"/>
                    <w:spacing w:val="-5"/>
                  </w:rPr>
                  <w:t> </w:t>
                </w:r>
                <w:r>
                  <w:rPr>
                    <w:color w:val="666666"/>
                  </w:rPr>
                  <w:t>F:</w:t>
                </w:r>
                <w:r>
                  <w:rPr>
                    <w:color w:val="666666"/>
                    <w:spacing w:val="-5"/>
                  </w:rPr>
                  <w:t> </w:t>
                </w:r>
                <w:r>
                  <w:rPr>
                    <w:color w:val="666666"/>
                  </w:rPr>
                  <w:t>+420</w:t>
                </w:r>
                <w:r>
                  <w:rPr>
                    <w:color w:val="666666"/>
                    <w:spacing w:val="-4"/>
                  </w:rPr>
                  <w:t> </w:t>
                </w:r>
                <w:r>
                  <w:rPr>
                    <w:color w:val="666666"/>
                  </w:rPr>
                  <w:t>272</w:t>
                </w:r>
                <w:r>
                  <w:rPr>
                    <w:color w:val="666666"/>
                    <w:spacing w:val="-5"/>
                  </w:rPr>
                  <w:t> </w:t>
                </w:r>
                <w:r>
                  <w:rPr>
                    <w:color w:val="666666"/>
                  </w:rPr>
                  <w:t>936</w:t>
                </w:r>
                <w:r>
                  <w:rPr>
                    <w:color w:val="666666"/>
                    <w:spacing w:val="-4"/>
                  </w:rPr>
                  <w:t> </w:t>
                </w:r>
                <w:r>
                  <w:rPr>
                    <w:color w:val="666666"/>
                  </w:rPr>
                  <w:t>585,</w:t>
                </w:r>
                <w:r>
                  <w:rPr>
                    <w:color w:val="666666"/>
                    <w:spacing w:val="-5"/>
                  </w:rPr>
                  <w:t> </w:t>
                </w:r>
                <w:r>
                  <w:rPr>
                    <w:color w:val="666666"/>
                  </w:rPr>
                  <w:t>IČ:</w:t>
                </w:r>
                <w:r>
                  <w:rPr>
                    <w:color w:val="666666"/>
                    <w:spacing w:val="-4"/>
                  </w:rPr>
                  <w:t> </w:t>
                </w:r>
                <w:r>
                  <w:rPr>
                    <w:color w:val="666666"/>
                  </w:rPr>
                  <w:t>00020729</w:t>
                </w:r>
                <w:r>
                  <w:rPr>
                    <w:color w:val="666666"/>
                    <w:spacing w:val="1"/>
                  </w:rPr>
                  <w:t> </w:t>
                </w:r>
                <w:hyperlink r:id="rId1">
                  <w:r>
                    <w:rPr>
                      <w:color w:val="666666"/>
                    </w:rPr>
                    <w:t>www.sfzp.cz,</w:t>
                  </w:r>
                  <w:r>
                    <w:rPr>
                      <w:color w:val="666666"/>
                      <w:spacing w:val="-2"/>
                    </w:rPr>
                    <w:t> </w:t>
                  </w:r>
                </w:hyperlink>
                <w:hyperlink r:id="rId2">
                  <w:r>
                    <w:rPr>
                      <w:color w:val="666666"/>
                    </w:rPr>
                    <w:t>dotazy@sfzp.cz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39.690002pt;margin-top:773.367188pt;width:11.35pt;height:12.65pt;mso-position-horizontal-relative:page;mso-position-vertical-relative:page;z-index:-15829504" type="#_x0000_t202" id="docshape2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</w:pPr>
                <w:r>
                  <w:rPr/>
                  <w:fldChar w:fldCharType="begin"/>
                </w:r>
                <w:r>
                  <w:rPr>
                    <w:color w:val="66666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85952">
          <wp:simplePos x="0" y="0"/>
          <wp:positionH relativeFrom="page">
            <wp:posOffset>730753</wp:posOffset>
          </wp:positionH>
          <wp:positionV relativeFrom="page">
            <wp:posOffset>518922</wp:posOffset>
          </wp:positionV>
          <wp:extent cx="2505058" cy="72567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05058" cy="7256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60" w:hanging="217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435" w:hanging="217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10" w:hanging="217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185" w:hanging="217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560" w:hanging="217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936" w:hanging="217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311" w:hanging="217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2686" w:hanging="217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061" w:hanging="217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60" w:hanging="217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353" w:hanging="217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646" w:hanging="217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39" w:hanging="217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33" w:hanging="217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526" w:hanging="217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819" w:hanging="217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2113" w:hanging="217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2406" w:hanging="217"/>
      </w:pPr>
      <w:rPr>
        <w:rFonts w:hint="default"/>
        <w:lang w:val="cs-CZ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16"/>
      <w:szCs w:val="16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283"/>
      <w:ind w:left="180"/>
    </w:pPr>
    <w:rPr>
      <w:rFonts w:ascii="Segoe UI" w:hAnsi="Segoe UI" w:eastAsia="Segoe UI" w:cs="Segoe UI"/>
      <w:b/>
      <w:bCs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40"/>
      <w:ind w:left="60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zp.cz/" TargetMode="External"/><Relationship Id="rId2" Type="http://schemas.openxmlformats.org/officeDocument/2006/relationships/hyperlink" Target="mailto:dotazy@sfzp.cz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2022-11-30T13:26:56Z</dcterms:created>
  <dcterms:modified xsi:type="dcterms:W3CDTF">2022-11-30T13:26:56Z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LastSaved">
    <vt:filetime>2022-11-30T00:00:00Z</vt:filetime>
  </property>
</Properties>
</file>