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Finanční platební kalendář FM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tabs>
          <w:tab w:pos="3969" w:val="left" w:leader="none"/>
        </w:tabs>
        <w:spacing w:before="73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Příjemce podpory:</w:t>
        <w:tab/>
      </w:r>
      <w:r>
        <w:rPr>
          <w:b/>
          <w:sz w:val="18"/>
        </w:rPr>
        <w:t>Město Slaný</w:t>
      </w:r>
    </w:p>
    <w:p>
      <w:pPr>
        <w:tabs>
          <w:tab w:pos="3969" w:val="left" w:leader="none"/>
        </w:tabs>
        <w:spacing w:before="84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 projektu:</w:t>
        <w:tab/>
      </w:r>
      <w:r>
        <w:rPr>
          <w:b/>
          <w:sz w:val="18"/>
        </w:rPr>
        <w:t>Rekonstrukce chlazení zimního stadionu Slaný</w:t>
      </w:r>
    </w:p>
    <w:p>
      <w:pPr>
        <w:tabs>
          <w:tab w:pos="3969" w:val="left" w:leader="none"/>
        </w:tabs>
        <w:spacing w:before="84"/>
        <w:ind w:left="160" w:right="0" w:firstLine="0"/>
        <w:jc w:val="left"/>
        <w:rPr>
          <w:b/>
          <w:sz w:val="18"/>
        </w:rPr>
      </w:pPr>
      <w:r>
        <w:rPr>
          <w:color w:val="6C777E"/>
          <w:sz w:val="18"/>
        </w:rPr>
        <w:t>Název prioritní osy:</w:t>
        <w:tab/>
      </w:r>
      <w:r>
        <w:rPr>
          <w:b/>
          <w:sz w:val="18"/>
        </w:rPr>
        <w:t>3 - Odpady a materiálové toky, ekologické zátěže a rizika</w:t>
      </w:r>
    </w:p>
    <w:p>
      <w:pPr>
        <w:pStyle w:val="BodyText"/>
        <w:spacing w:before="11"/>
        <w:rPr>
          <w:b/>
          <w:sz w:val="10"/>
        </w:rPr>
      </w:pPr>
      <w:r>
        <w:rPr/>
        <w:pict>
          <v:shape style="position:absolute;margin-left:40pt;margin-top:7.783pt;width:762pt;height:.1pt;mso-position-horizontal-relative:page;mso-position-vertical-relative:paragraph;z-index:-15728640;mso-wrap-distance-left:0;mso-wrap-distance-right:0" id="docshape4" coordorigin="800,156" coordsize="15240,0" path="m800,156l4610,156m4610,156l16040,156e" filled="false" stroked="true" strokeweight=".25pt" strokecolor="#6c777e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2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2"/>
        <w:gridCol w:w="3439"/>
        <w:gridCol w:w="3705"/>
        <w:gridCol w:w="2894"/>
      </w:tblGrid>
      <w:tr>
        <w:trPr>
          <w:trHeight w:val="237" w:hRule="atLeast"/>
        </w:trPr>
        <w:tc>
          <w:tcPr>
            <w:tcW w:w="3102" w:type="dxa"/>
          </w:tcPr>
          <w:p>
            <w:pPr>
              <w:pStyle w:val="TableParagraph"/>
              <w:spacing w:line="183" w:lineRule="exact" w:before="0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Akceptační číslo:</w:t>
            </w:r>
          </w:p>
        </w:tc>
        <w:tc>
          <w:tcPr>
            <w:tcW w:w="3439" w:type="dxa"/>
          </w:tcPr>
          <w:p>
            <w:pPr>
              <w:pStyle w:val="TableParagraph"/>
              <w:spacing w:line="183" w:lineRule="exact" w:before="0"/>
              <w:ind w:left="758" w:right="0"/>
              <w:jc w:val="left"/>
              <w:rPr>
                <w:sz w:val="18"/>
              </w:rPr>
            </w:pPr>
            <w:r>
              <w:rPr>
                <w:sz w:val="18"/>
              </w:rPr>
              <w:t>2017010012</w:t>
            </w:r>
          </w:p>
        </w:tc>
        <w:tc>
          <w:tcPr>
            <w:tcW w:w="3705" w:type="dxa"/>
          </w:tcPr>
          <w:p>
            <w:pPr>
              <w:pStyle w:val="TableParagraph"/>
              <w:spacing w:line="183" w:lineRule="exact" w:before="0"/>
              <w:ind w:left="1129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PM projektu:</w:t>
            </w:r>
          </w:p>
        </w:tc>
        <w:tc>
          <w:tcPr>
            <w:tcW w:w="2894" w:type="dxa"/>
          </w:tcPr>
          <w:p>
            <w:pPr>
              <w:pStyle w:val="TableParagraph"/>
              <w:spacing w:line="183" w:lineRule="exact" w:before="0"/>
              <w:ind w:left="1234" w:right="0"/>
              <w:jc w:val="left"/>
              <w:rPr>
                <w:sz w:val="18"/>
              </w:rPr>
            </w:pPr>
            <w:r>
              <w:rPr>
                <w:sz w:val="18"/>
              </w:rPr>
              <w:t>Loušová Eva</w:t>
            </w:r>
          </w:p>
        </w:tc>
      </w:tr>
      <w:tr>
        <w:trPr>
          <w:trHeight w:val="296" w:hRule="atLeast"/>
        </w:trPr>
        <w:tc>
          <w:tcPr>
            <w:tcW w:w="3102" w:type="dxa"/>
          </w:tcPr>
          <w:p>
            <w:pPr>
              <w:pStyle w:val="TableParagraph"/>
              <w:spacing w:before="31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Číslo projektu:</w:t>
            </w:r>
          </w:p>
        </w:tc>
        <w:tc>
          <w:tcPr>
            <w:tcW w:w="3439" w:type="dxa"/>
          </w:tcPr>
          <w:p>
            <w:pPr>
              <w:pStyle w:val="TableParagraph"/>
              <w:spacing w:before="31"/>
              <w:ind w:left="758" w:right="0"/>
              <w:jc w:val="left"/>
              <w:rPr>
                <w:sz w:val="18"/>
              </w:rPr>
            </w:pPr>
            <w:r>
              <w:rPr>
                <w:sz w:val="18"/>
              </w:rPr>
              <w:t>37559171</w:t>
            </w:r>
          </w:p>
        </w:tc>
        <w:tc>
          <w:tcPr>
            <w:tcW w:w="3705" w:type="dxa"/>
          </w:tcPr>
          <w:p>
            <w:pPr>
              <w:pStyle w:val="TableParagraph"/>
              <w:spacing w:before="31"/>
              <w:ind w:left="1129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FM projektu:</w:t>
            </w:r>
          </w:p>
        </w:tc>
        <w:tc>
          <w:tcPr>
            <w:tcW w:w="2894" w:type="dxa"/>
          </w:tcPr>
          <w:p>
            <w:pPr>
              <w:pStyle w:val="TableParagraph"/>
              <w:spacing w:before="31"/>
              <w:ind w:left="1234" w:right="0"/>
              <w:jc w:val="left"/>
              <w:rPr>
                <w:sz w:val="18"/>
              </w:rPr>
            </w:pPr>
            <w:r>
              <w:rPr>
                <w:sz w:val="18"/>
              </w:rPr>
              <w:t>Bruknerová Dagmar</w:t>
            </w:r>
          </w:p>
        </w:tc>
      </w:tr>
      <w:tr>
        <w:trPr>
          <w:trHeight w:val="296" w:hRule="atLeast"/>
        </w:trPr>
        <w:tc>
          <w:tcPr>
            <w:tcW w:w="3102" w:type="dxa"/>
          </w:tcPr>
          <w:p>
            <w:pPr>
              <w:pStyle w:val="TableParagraph"/>
              <w:spacing w:before="31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Registrační číslo z MS 2014+:</w:t>
            </w:r>
          </w:p>
        </w:tc>
        <w:tc>
          <w:tcPr>
            <w:tcW w:w="3439" w:type="dxa"/>
          </w:tcPr>
          <w:p>
            <w:pPr>
              <w:pStyle w:val="TableParagraph"/>
              <w:spacing w:before="31"/>
              <w:ind w:left="758" w:right="0"/>
              <w:jc w:val="left"/>
              <w:rPr>
                <w:sz w:val="18"/>
              </w:rPr>
            </w:pPr>
            <w:r>
              <w:rPr>
                <w:sz w:val="18"/>
              </w:rPr>
              <w:t>- - -</w:t>
            </w:r>
          </w:p>
        </w:tc>
        <w:tc>
          <w:tcPr>
            <w:tcW w:w="3705" w:type="dxa"/>
          </w:tcPr>
          <w:p>
            <w:pPr>
              <w:pStyle w:val="TableParagraph"/>
              <w:spacing w:before="31"/>
              <w:ind w:left="1129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Právník projektu:</w:t>
            </w:r>
          </w:p>
        </w:tc>
        <w:tc>
          <w:tcPr>
            <w:tcW w:w="2894" w:type="dxa"/>
          </w:tcPr>
          <w:p>
            <w:pPr>
              <w:pStyle w:val="TableParagraph"/>
              <w:spacing w:before="31"/>
              <w:ind w:left="1234" w:right="0"/>
              <w:jc w:val="left"/>
              <w:rPr>
                <w:sz w:val="18"/>
              </w:rPr>
            </w:pPr>
            <w:r>
              <w:rPr>
                <w:sz w:val="18"/>
              </w:rPr>
              <w:t>Moravcová Daniela</w:t>
            </w:r>
          </w:p>
        </w:tc>
      </w:tr>
      <w:tr>
        <w:trPr>
          <w:trHeight w:val="296" w:hRule="atLeast"/>
        </w:trPr>
        <w:tc>
          <w:tcPr>
            <w:tcW w:w="3102" w:type="dxa"/>
          </w:tcPr>
          <w:p>
            <w:pPr>
              <w:pStyle w:val="TableParagraph"/>
              <w:spacing w:before="31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Datum:</w:t>
            </w:r>
          </w:p>
        </w:tc>
        <w:tc>
          <w:tcPr>
            <w:tcW w:w="3439" w:type="dxa"/>
          </w:tcPr>
          <w:p>
            <w:pPr>
              <w:pStyle w:val="TableParagraph"/>
              <w:spacing w:before="31"/>
              <w:ind w:left="758" w:right="0"/>
              <w:jc w:val="left"/>
              <w:rPr>
                <w:sz w:val="18"/>
              </w:rPr>
            </w:pPr>
            <w:r>
              <w:rPr>
                <w:sz w:val="18"/>
              </w:rPr>
              <w:t>04.10.2022</w:t>
            </w:r>
          </w:p>
        </w:tc>
        <w:tc>
          <w:tcPr>
            <w:tcW w:w="3705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94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3102" w:type="dxa"/>
          </w:tcPr>
          <w:p>
            <w:pPr>
              <w:pStyle w:val="TableParagraph"/>
              <w:spacing w:line="187" w:lineRule="exact" w:before="31"/>
              <w:ind w:left="50" w:right="0"/>
              <w:jc w:val="left"/>
              <w:rPr>
                <w:sz w:val="18"/>
              </w:rPr>
            </w:pPr>
            <w:r>
              <w:rPr>
                <w:color w:val="6C777E"/>
                <w:sz w:val="18"/>
              </w:rPr>
              <w:t>Č. j.:</w:t>
            </w:r>
          </w:p>
        </w:tc>
        <w:tc>
          <w:tcPr>
            <w:tcW w:w="3439" w:type="dxa"/>
          </w:tcPr>
          <w:p>
            <w:pPr>
              <w:pStyle w:val="TableParagraph"/>
              <w:spacing w:line="187" w:lineRule="exact" w:before="31"/>
              <w:ind w:left="758" w:right="0"/>
              <w:jc w:val="left"/>
              <w:rPr>
                <w:sz w:val="18"/>
              </w:rPr>
            </w:pPr>
            <w:r>
              <w:rPr>
                <w:sz w:val="18"/>
              </w:rPr>
              <w:t>SFZP 042592/2020</w:t>
            </w:r>
          </w:p>
        </w:tc>
        <w:tc>
          <w:tcPr>
            <w:tcW w:w="3705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894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1101"/>
        <w:gridCol w:w="2532"/>
        <w:gridCol w:w="2532"/>
        <w:gridCol w:w="2532"/>
        <w:gridCol w:w="2532"/>
        <w:gridCol w:w="2532"/>
      </w:tblGrid>
      <w:tr>
        <w:trPr>
          <w:trHeight w:val="579" w:hRule="atLeast"/>
        </w:trPr>
        <w:tc>
          <w:tcPr>
            <w:tcW w:w="14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4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Období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28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Celkové způsobilé výdaje</w:t>
            </w:r>
          </w:p>
        </w:tc>
        <w:tc>
          <w:tcPr>
            <w:tcW w:w="253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28"/>
              <w:ind w:left="96" w:right="0"/>
              <w:jc w:val="left"/>
              <w:rPr>
                <w:sz w:val="18"/>
              </w:rPr>
            </w:pPr>
            <w:r>
              <w:rPr>
                <w:sz w:val="18"/>
              </w:rPr>
              <w:t>Nezpůsobilé výdaje</w:t>
            </w: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24"/>
              <w:ind w:left="96" w:right="357"/>
              <w:jc w:val="left"/>
              <w:rPr>
                <w:sz w:val="18"/>
              </w:rPr>
            </w:pPr>
            <w:r>
              <w:rPr>
                <w:sz w:val="18"/>
              </w:rPr>
              <w:t>Celkové způsobilé veřejné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výdaje</w:t>
            </w:r>
          </w:p>
        </w:tc>
        <w:tc>
          <w:tcPr>
            <w:tcW w:w="253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28"/>
              <w:ind w:left="96" w:right="0"/>
              <w:jc w:val="left"/>
              <w:rPr>
                <w:sz w:val="18"/>
              </w:rPr>
            </w:pPr>
            <w:r>
              <w:rPr>
                <w:sz w:val="18"/>
              </w:rPr>
              <w:t>Půjčka IFN</w:t>
            </w: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28"/>
              <w:ind w:left="96" w:right="0"/>
              <w:jc w:val="left"/>
              <w:rPr>
                <w:sz w:val="18"/>
              </w:rPr>
            </w:pPr>
            <w:r>
              <w:rPr>
                <w:sz w:val="18"/>
              </w:rPr>
              <w:t>Dotace SFZP</w:t>
            </w:r>
          </w:p>
        </w:tc>
      </w:tr>
      <w:tr>
        <w:trPr>
          <w:trHeight w:val="361" w:hRule="atLeast"/>
        </w:trPr>
        <w:tc>
          <w:tcPr>
            <w:tcW w:w="148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1"/>
              <w:ind w:left="4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Celkem</w:t>
            </w:r>
          </w:p>
        </w:tc>
        <w:tc>
          <w:tcPr>
            <w:tcW w:w="11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2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2"/>
              <w:ind w:right="88"/>
              <w:rPr>
                <w:sz w:val="18"/>
              </w:rPr>
            </w:pPr>
            <w:r>
              <w:rPr>
                <w:sz w:val="18"/>
              </w:rPr>
              <w:t>12 587 233,00</w:t>
            </w:r>
          </w:p>
        </w:tc>
        <w:tc>
          <w:tcPr>
            <w:tcW w:w="253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3 010 979,85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12 587 233,00</w:t>
            </w:r>
          </w:p>
        </w:tc>
        <w:tc>
          <w:tcPr>
            <w:tcW w:w="253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9 440 424,75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3 146 808,25</w:t>
            </w:r>
          </w:p>
        </w:tc>
      </w:tr>
      <w:tr>
        <w:trPr>
          <w:trHeight w:val="361" w:hRule="atLeast"/>
        </w:trPr>
        <w:tc>
          <w:tcPr>
            <w:tcW w:w="148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before="122"/>
              <w:ind w:right="88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>
            <w:pPr>
              <w:pStyle w:val="TableParagraph"/>
              <w:spacing w:before="122"/>
              <w:ind w:right="88"/>
              <w:rPr>
                <w:sz w:val="18"/>
              </w:rPr>
            </w:pPr>
            <w:r>
              <w:rPr>
                <w:sz w:val="18"/>
              </w:rPr>
              <w:t>12 587 233,00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3 010 979,85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12 587 233,00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9 440 424,75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3 146 808,25</w:t>
            </w:r>
          </w:p>
        </w:tc>
      </w:tr>
      <w:tr>
        <w:trPr>
          <w:trHeight w:val="361" w:hRule="atLeast"/>
        </w:trPr>
        <w:tc>
          <w:tcPr>
            <w:tcW w:w="148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2"/>
              <w:ind w:right="88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2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3" w:hRule="atLeast"/>
        </w:trPr>
        <w:tc>
          <w:tcPr>
            <w:tcW w:w="1480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before="81"/>
              <w:ind w:left="4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2015</w:t>
            </w:r>
          </w:p>
        </w:tc>
        <w:tc>
          <w:tcPr>
            <w:tcW w:w="11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2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2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3" w:hRule="atLeast"/>
        </w:trPr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4"/>
              <w:ind w:right="88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4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3" w:hRule="atLeast"/>
        </w:trPr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2"/>
              <w:ind w:right="88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2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1480" w:type="dxa"/>
            <w:vMerge w:val="restart"/>
          </w:tcPr>
          <w:p>
            <w:pPr>
              <w:pStyle w:val="TableParagraph"/>
              <w:spacing w:before="84"/>
              <w:ind w:left="4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2016</w:t>
            </w:r>
          </w:p>
        </w:tc>
        <w:tc>
          <w:tcPr>
            <w:tcW w:w="1101" w:type="dxa"/>
          </w:tcPr>
          <w:p>
            <w:pPr>
              <w:pStyle w:val="TableParagraph"/>
              <w:spacing w:before="124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>
            <w:pPr>
              <w:pStyle w:val="TableParagraph"/>
              <w:spacing w:before="124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3" w:hRule="atLeast"/>
        </w:trPr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4"/>
              <w:ind w:right="88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4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4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3" w:hRule="atLeast"/>
        </w:trPr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2"/>
              <w:ind w:right="88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2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22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>
      <w:pPr>
        <w:spacing w:after="0"/>
        <w:rPr>
          <w:sz w:val="18"/>
        </w:rPr>
        <w:sectPr>
          <w:footerReference w:type="default" r:id="rId5"/>
          <w:type w:val="continuous"/>
          <w:pgSz w:w="16840" w:h="11900" w:orient="landscape"/>
          <w:pgMar w:footer="802" w:header="0" w:top="860" w:bottom="1000" w:left="680" w:right="680"/>
          <w:pgNumType w:start="1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1101"/>
        <w:gridCol w:w="2532"/>
        <w:gridCol w:w="2532"/>
        <w:gridCol w:w="2532"/>
        <w:gridCol w:w="2532"/>
        <w:gridCol w:w="2532"/>
      </w:tblGrid>
      <w:tr>
        <w:trPr>
          <w:trHeight w:val="582" w:hRule="atLeast"/>
        </w:trPr>
        <w:tc>
          <w:tcPr>
            <w:tcW w:w="1480" w:type="dxa"/>
          </w:tcPr>
          <w:p>
            <w:pPr>
              <w:pStyle w:val="TableParagraph"/>
              <w:spacing w:before="79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Období</w:t>
            </w:r>
          </w:p>
        </w:tc>
        <w:tc>
          <w:tcPr>
            <w:tcW w:w="1101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32" w:type="dxa"/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23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Celkové způsobilé výdaje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23"/>
              <w:ind w:left="96" w:right="0"/>
              <w:jc w:val="left"/>
              <w:rPr>
                <w:sz w:val="18"/>
              </w:rPr>
            </w:pPr>
            <w:r>
              <w:rPr>
                <w:sz w:val="18"/>
              </w:rPr>
              <w:t>Nezpůsobilé výdaje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7" w:lineRule="auto"/>
              <w:ind w:left="96" w:right="357"/>
              <w:jc w:val="left"/>
              <w:rPr>
                <w:sz w:val="18"/>
              </w:rPr>
            </w:pPr>
            <w:r>
              <w:rPr>
                <w:sz w:val="18"/>
              </w:rPr>
              <w:t>Celkové způsobilé veřejné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výdaje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23"/>
              <w:ind w:left="96" w:right="0"/>
              <w:jc w:val="left"/>
              <w:rPr>
                <w:sz w:val="18"/>
              </w:rPr>
            </w:pPr>
            <w:r>
              <w:rPr>
                <w:sz w:val="18"/>
              </w:rPr>
              <w:t>Půjčka IFN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23"/>
              <w:ind w:left="96" w:right="0"/>
              <w:jc w:val="left"/>
              <w:rPr>
                <w:sz w:val="18"/>
              </w:rPr>
            </w:pPr>
            <w:r>
              <w:rPr>
                <w:sz w:val="18"/>
              </w:rPr>
              <w:t>Dotace SFZP</w:t>
            </w:r>
          </w:p>
        </w:tc>
      </w:tr>
      <w:tr>
        <w:trPr>
          <w:trHeight w:val="365" w:hRule="atLeast"/>
        </w:trPr>
        <w:tc>
          <w:tcPr>
            <w:tcW w:w="1480" w:type="dxa"/>
            <w:vMerge w:val="restart"/>
          </w:tcPr>
          <w:p>
            <w:pPr>
              <w:pStyle w:val="TableParagraph"/>
              <w:spacing w:before="79"/>
              <w:ind w:left="4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2017</w:t>
            </w:r>
          </w:p>
        </w:tc>
        <w:tc>
          <w:tcPr>
            <w:tcW w:w="1101" w:type="dxa"/>
          </w:tcPr>
          <w:p>
            <w:pPr>
              <w:pStyle w:val="TableParagraph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3" w:hRule="atLeast"/>
        </w:trPr>
        <w:tc>
          <w:tcPr>
            <w:tcW w:w="1480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4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1101" w:type="dxa"/>
          </w:tcPr>
          <w:p>
            <w:pPr>
              <w:pStyle w:val="TableParagraph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1" w:hRule="atLeast"/>
        </w:trPr>
        <w:tc>
          <w:tcPr>
            <w:tcW w:w="148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7"/>
              <w:ind w:right="88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7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8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ind w:right="88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3" w:hRule="atLeast"/>
        </w:trPr>
        <w:tc>
          <w:tcPr>
            <w:tcW w:w="1480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before="76"/>
              <w:ind w:left="4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11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3" w:hRule="atLeast"/>
        </w:trPr>
        <w:tc>
          <w:tcPr>
            <w:tcW w:w="1480" w:type="dxa"/>
            <w:vMerge w:val="restart"/>
          </w:tcPr>
          <w:p>
            <w:pPr>
              <w:pStyle w:val="TableParagraph"/>
              <w:spacing w:before="79"/>
              <w:ind w:left="4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3" w:hRule="atLeast"/>
        </w:trPr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right="88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1480" w:type="dxa"/>
            <w:vMerge w:val="restart"/>
          </w:tcPr>
          <w:p>
            <w:pPr>
              <w:pStyle w:val="TableParagraph"/>
              <w:spacing w:before="79"/>
              <w:ind w:left="4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2021</w:t>
            </w:r>
          </w:p>
        </w:tc>
        <w:tc>
          <w:tcPr>
            <w:tcW w:w="1101" w:type="dxa"/>
          </w:tcPr>
          <w:p>
            <w:pPr>
              <w:pStyle w:val="TableParagraph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5" w:hRule="atLeast"/>
        </w:trPr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3" w:hRule="atLeast"/>
        </w:trPr>
        <w:tc>
          <w:tcPr>
            <w:tcW w:w="1480" w:type="dxa"/>
            <w:vMerge w:val="restart"/>
          </w:tcPr>
          <w:p>
            <w:pPr>
              <w:pStyle w:val="TableParagraph"/>
              <w:spacing w:before="79"/>
              <w:ind w:left="4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2022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12 587 233,00</w:t>
            </w:r>
          </w:p>
        </w:tc>
        <w:tc>
          <w:tcPr>
            <w:tcW w:w="253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3 010 979,85</w:t>
            </w: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12 587 233,00</w:t>
            </w:r>
          </w:p>
        </w:tc>
        <w:tc>
          <w:tcPr>
            <w:tcW w:w="253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9 440 424,75</w:t>
            </w: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3 146 808,25</w:t>
            </w:r>
          </w:p>
        </w:tc>
      </w:tr>
      <w:tr>
        <w:trPr>
          <w:trHeight w:val="363" w:hRule="atLeast"/>
        </w:trPr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right="88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right="88"/>
              <w:rPr>
                <w:sz w:val="18"/>
              </w:rPr>
            </w:pPr>
            <w:r>
              <w:rPr>
                <w:sz w:val="18"/>
              </w:rPr>
              <w:t>12 587 233,00</w:t>
            </w:r>
          </w:p>
        </w:tc>
        <w:tc>
          <w:tcPr>
            <w:tcW w:w="253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3 010 979,85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12 587 233,00</w:t>
            </w:r>
          </w:p>
        </w:tc>
        <w:tc>
          <w:tcPr>
            <w:tcW w:w="253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9 440 424,75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3 146 808,25</w:t>
            </w:r>
          </w:p>
        </w:tc>
      </w:tr>
      <w:tr>
        <w:trPr>
          <w:trHeight w:val="366" w:hRule="atLeast"/>
        </w:trPr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3" w:hRule="atLeast"/>
        </w:trPr>
        <w:tc>
          <w:tcPr>
            <w:tcW w:w="1480" w:type="dxa"/>
            <w:vMerge w:val="restart"/>
          </w:tcPr>
          <w:p>
            <w:pPr>
              <w:pStyle w:val="TableParagraph"/>
              <w:spacing w:before="79"/>
              <w:ind w:left="530" w:right="0"/>
              <w:jc w:val="left"/>
              <w:rPr>
                <w:sz w:val="18"/>
              </w:rPr>
            </w:pPr>
            <w:r>
              <w:rPr>
                <w:sz w:val="18"/>
              </w:rPr>
              <w:t>Skutečnosti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3" w:hRule="atLeast"/>
        </w:trPr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right="88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5" w:hRule="atLeast"/>
        </w:trPr>
        <w:tc>
          <w:tcPr>
            <w:tcW w:w="1480" w:type="dxa"/>
            <w:vMerge w:val="restart"/>
          </w:tcPr>
          <w:p>
            <w:pPr>
              <w:pStyle w:val="TableParagraph"/>
              <w:spacing w:before="79"/>
              <w:ind w:right="28"/>
              <w:rPr>
                <w:sz w:val="18"/>
              </w:rPr>
            </w:pPr>
            <w:r>
              <w:rPr>
                <w:sz w:val="18"/>
              </w:rPr>
              <w:t>I. Q</w:t>
            </w:r>
          </w:p>
        </w:tc>
        <w:tc>
          <w:tcPr>
            <w:tcW w:w="1101" w:type="dxa"/>
          </w:tcPr>
          <w:p>
            <w:pPr>
              <w:pStyle w:val="TableParagraph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5" w:hRule="atLeast"/>
        </w:trPr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5" w:hRule="atLeast"/>
        </w:trPr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p>
      <w:pPr>
        <w:spacing w:after="0"/>
        <w:rPr>
          <w:sz w:val="18"/>
        </w:rPr>
        <w:sectPr>
          <w:pgSz w:w="16840" w:h="11900" w:orient="landscape"/>
          <w:pgMar w:header="0" w:footer="802" w:top="600" w:bottom="1392" w:left="680" w:right="68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0"/>
        <w:gridCol w:w="1101"/>
        <w:gridCol w:w="2532"/>
        <w:gridCol w:w="2532"/>
        <w:gridCol w:w="2532"/>
        <w:gridCol w:w="2532"/>
        <w:gridCol w:w="2532"/>
      </w:tblGrid>
      <w:tr>
        <w:trPr>
          <w:trHeight w:val="582" w:hRule="atLeast"/>
        </w:trPr>
        <w:tc>
          <w:tcPr>
            <w:tcW w:w="1480" w:type="dxa"/>
          </w:tcPr>
          <w:p>
            <w:pPr>
              <w:pStyle w:val="TableParagraph"/>
              <w:spacing w:before="79"/>
              <w:ind w:left="40" w:right="0"/>
              <w:jc w:val="left"/>
              <w:rPr>
                <w:sz w:val="18"/>
              </w:rPr>
            </w:pPr>
            <w:r>
              <w:rPr>
                <w:sz w:val="18"/>
              </w:rPr>
              <w:t>Období</w:t>
            </w:r>
          </w:p>
        </w:tc>
        <w:tc>
          <w:tcPr>
            <w:tcW w:w="1101" w:type="dxa"/>
          </w:tcPr>
          <w:p>
            <w:pPr>
              <w:pStyle w:val="TableParagraph"/>
              <w:spacing w:before="0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532" w:type="dxa"/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23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Celkové způsobilé výdaje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23"/>
              <w:ind w:left="96" w:right="0"/>
              <w:jc w:val="left"/>
              <w:rPr>
                <w:sz w:val="18"/>
              </w:rPr>
            </w:pPr>
            <w:r>
              <w:rPr>
                <w:sz w:val="18"/>
              </w:rPr>
              <w:t>Nezpůsobilé výdaje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7" w:lineRule="auto"/>
              <w:ind w:left="96" w:right="357"/>
              <w:jc w:val="left"/>
              <w:rPr>
                <w:sz w:val="18"/>
              </w:rPr>
            </w:pPr>
            <w:r>
              <w:rPr>
                <w:sz w:val="18"/>
              </w:rPr>
              <w:t>Celkové způsobilé veřejné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výdaje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23"/>
              <w:ind w:left="96" w:right="0"/>
              <w:jc w:val="left"/>
              <w:rPr>
                <w:sz w:val="18"/>
              </w:rPr>
            </w:pPr>
            <w:r>
              <w:rPr>
                <w:sz w:val="18"/>
              </w:rPr>
              <w:t>Půjčka IFN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0"/>
              <w:ind w:righ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23"/>
              <w:ind w:left="96" w:right="0"/>
              <w:jc w:val="left"/>
              <w:rPr>
                <w:sz w:val="18"/>
              </w:rPr>
            </w:pPr>
            <w:r>
              <w:rPr>
                <w:sz w:val="18"/>
              </w:rPr>
              <w:t>Dotace SFZP</w:t>
            </w:r>
          </w:p>
        </w:tc>
      </w:tr>
      <w:tr>
        <w:trPr>
          <w:trHeight w:val="365" w:hRule="atLeast"/>
        </w:trPr>
        <w:tc>
          <w:tcPr>
            <w:tcW w:w="1480" w:type="dxa"/>
            <w:vMerge w:val="restart"/>
          </w:tcPr>
          <w:p>
            <w:pPr>
              <w:pStyle w:val="TableParagraph"/>
              <w:spacing w:before="79"/>
              <w:ind w:right="28"/>
              <w:rPr>
                <w:sz w:val="18"/>
              </w:rPr>
            </w:pPr>
            <w:r>
              <w:rPr>
                <w:sz w:val="18"/>
              </w:rPr>
              <w:t>II. Q</w:t>
            </w:r>
          </w:p>
        </w:tc>
        <w:tc>
          <w:tcPr>
            <w:tcW w:w="1101" w:type="dxa"/>
          </w:tcPr>
          <w:p>
            <w:pPr>
              <w:pStyle w:val="TableParagraph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3" w:hRule="atLeast"/>
        </w:trPr>
        <w:tc>
          <w:tcPr>
            <w:tcW w:w="1480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before="79"/>
              <w:ind w:right="28"/>
              <w:rPr>
                <w:sz w:val="18"/>
              </w:rPr>
            </w:pPr>
            <w:r>
              <w:rPr>
                <w:sz w:val="18"/>
              </w:rPr>
              <w:t>III. Q</w:t>
            </w:r>
          </w:p>
        </w:tc>
        <w:tc>
          <w:tcPr>
            <w:tcW w:w="1101" w:type="dxa"/>
          </w:tcPr>
          <w:p>
            <w:pPr>
              <w:pStyle w:val="TableParagraph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1" w:hRule="atLeast"/>
        </w:trPr>
        <w:tc>
          <w:tcPr>
            <w:tcW w:w="148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7"/>
              <w:ind w:right="88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7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148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ind w:right="88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3" w:hRule="atLeast"/>
        </w:trPr>
        <w:tc>
          <w:tcPr>
            <w:tcW w:w="1480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before="77"/>
              <w:ind w:right="28"/>
              <w:rPr>
                <w:sz w:val="18"/>
              </w:rPr>
            </w:pPr>
            <w:r>
              <w:rPr>
                <w:sz w:val="18"/>
              </w:rPr>
              <w:t>IV. Q</w:t>
            </w:r>
          </w:p>
        </w:tc>
        <w:tc>
          <w:tcPr>
            <w:tcW w:w="11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right="88"/>
              <w:rPr>
                <w:sz w:val="18"/>
              </w:rPr>
            </w:pPr>
            <w:r>
              <w:rPr>
                <w:sz w:val="18"/>
              </w:rPr>
              <w:t>12 587 233,00</w:t>
            </w:r>
          </w:p>
        </w:tc>
        <w:tc>
          <w:tcPr>
            <w:tcW w:w="253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3 010 979,85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12 587 233,00</w:t>
            </w:r>
          </w:p>
        </w:tc>
        <w:tc>
          <w:tcPr>
            <w:tcW w:w="253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9 440 424,75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3 146 808,25</w:t>
            </w:r>
          </w:p>
        </w:tc>
      </w:tr>
      <w:tr>
        <w:trPr>
          <w:trHeight w:val="366" w:hRule="atLeast"/>
        </w:trPr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12 587 233,00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3 010 979,85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12 587 233,00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9 440 424,75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3 146 808,25</w:t>
            </w:r>
          </w:p>
        </w:tc>
      </w:tr>
      <w:tr>
        <w:trPr>
          <w:trHeight w:val="366" w:hRule="atLeast"/>
        </w:trPr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3" w:hRule="atLeast"/>
        </w:trPr>
        <w:tc>
          <w:tcPr>
            <w:tcW w:w="1480" w:type="dxa"/>
            <w:vMerge w:val="restart"/>
          </w:tcPr>
          <w:p>
            <w:pPr>
              <w:pStyle w:val="TableParagraph"/>
              <w:spacing w:before="79"/>
              <w:ind w:left="4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2023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3" w:hRule="atLeast"/>
        </w:trPr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right="88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1480" w:type="dxa"/>
            <w:vMerge w:val="restart"/>
          </w:tcPr>
          <w:p>
            <w:pPr>
              <w:pStyle w:val="TableParagraph"/>
              <w:spacing w:before="79"/>
              <w:ind w:left="4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</w:p>
        </w:tc>
        <w:tc>
          <w:tcPr>
            <w:tcW w:w="1101" w:type="dxa"/>
          </w:tcPr>
          <w:p>
            <w:pPr>
              <w:pStyle w:val="TableParagraph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5" w:hRule="atLeast"/>
        </w:trPr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3" w:hRule="atLeast"/>
        </w:trPr>
        <w:tc>
          <w:tcPr>
            <w:tcW w:w="1480" w:type="dxa"/>
            <w:vMerge w:val="restart"/>
          </w:tcPr>
          <w:p>
            <w:pPr>
              <w:pStyle w:val="TableParagraph"/>
              <w:spacing w:before="79"/>
              <w:ind w:left="40" w:right="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2025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99" w:right="0"/>
              <w:jc w:val="left"/>
              <w:rPr>
                <w:sz w:val="18"/>
              </w:rPr>
            </w:pPr>
            <w:r>
              <w:rPr>
                <w:sz w:val="18"/>
              </w:rPr>
              <w:t>celkem</w:t>
            </w:r>
          </w:p>
        </w:tc>
        <w:tc>
          <w:tcPr>
            <w:tcW w:w="253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3" w:hRule="atLeast"/>
        </w:trPr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right="88"/>
              <w:rPr>
                <w:sz w:val="18"/>
              </w:rPr>
            </w:pPr>
            <w:r>
              <w:rPr>
                <w:sz w:val="18"/>
              </w:rPr>
              <w:t>inv.</w:t>
            </w:r>
          </w:p>
        </w:tc>
        <w:tc>
          <w:tcPr>
            <w:tcW w:w="25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  <w:tr>
        <w:trPr>
          <w:trHeight w:val="366" w:hRule="atLeast"/>
        </w:trPr>
        <w:tc>
          <w:tcPr>
            <w:tcW w:w="1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neinv.</w:t>
            </w:r>
          </w:p>
        </w:tc>
        <w:tc>
          <w:tcPr>
            <w:tcW w:w="2532" w:type="dxa"/>
          </w:tcPr>
          <w:p>
            <w:pPr>
              <w:pStyle w:val="TableParagraph"/>
              <w:ind w:right="88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  <w:tc>
          <w:tcPr>
            <w:tcW w:w="253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0,00</w:t>
            </w:r>
          </w:p>
        </w:tc>
      </w:tr>
    </w:tbl>
    <w:sectPr>
      <w:type w:val="continuous"/>
      <w:pgSz w:w="16840" w:h="11900" w:orient="landscape"/>
      <w:pgMar w:header="0" w:footer="802" w:top="600" w:bottom="1000" w:left="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JohnSans Text Pro">
    <w:altName w:val="JohnSans Text Pro"/>
    <w:charset w:val="0"/>
    <w:family w:val="moder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764pt;margin-top:543.375183pt;width:414.9pt;height:25.8pt;mso-position-horizontal-relative:page;mso-position-vertical-relative:page;z-index:-16361984" type="#_x0000_t202" id="docshape1" filled="false" stroked="false">
          <v:textbox inset="0,0,0,0">
            <w:txbxContent>
              <w:p>
                <w:pPr>
                  <w:pStyle w:val="BodyText"/>
                  <w:spacing w:line="247" w:lineRule="auto"/>
                  <w:ind w:left="20"/>
                </w:pPr>
                <w:r>
                  <w:rPr>
                    <w:color w:val="6C777E"/>
                  </w:rPr>
                  <w:t>Státní fond životního prostředí ČR, Kaplanova 1931/1, 148 00 Praha 11, Tel.: +420 267 994 300, Fax: +420 272 936 585, </w:t>
                </w:r>
                <w:hyperlink r:id="rId1">
                  <w:r>
                    <w:rPr>
                      <w:color w:val="6C777E"/>
                    </w:rPr>
                    <w:t>www.sfzp.cz</w:t>
                  </w:r>
                </w:hyperlink>
                <w:r>
                  <w:rPr>
                    <w:color w:val="6C777E"/>
                    <w:spacing w:val="1"/>
                  </w:rPr>
                  <w:t> </w:t>
                </w:r>
                <w:r>
                  <w:rPr>
                    <w:color w:val="6C777E"/>
                  </w:rPr>
                  <w:t>Ministerstvo životního prostředí, Evropská unie, Evropský fond pro regionální rozvoj, Fond soudržnosti, </w:t>
                </w:r>
                <w:hyperlink r:id="rId2">
                  <w:r>
                    <w:rPr>
                      <w:color w:val="6C777E"/>
                    </w:rPr>
                    <w:t>www.opzp.cz,</w:t>
                  </w:r>
                </w:hyperlink>
                <w:r>
                  <w:rPr>
                    <w:color w:val="6C777E"/>
                  </w:rPr>
                  <w:t> </w:t>
                </w:r>
                <w:hyperlink r:id="rId3">
                  <w:r>
                    <w:rPr>
                      <w:color w:val="6C777E"/>
                    </w:rPr>
                    <w:t>www.europa.eu</w:t>
                  </w:r>
                </w:hyperlink>
                <w:r>
                  <w:rPr>
                    <w:color w:val="6C777E"/>
                    <w:spacing w:val="-34"/>
                  </w:rPr>
                  <w:t> </w:t>
                </w:r>
                <w:r>
                  <w:rPr>
                    <w:color w:val="6C777E"/>
                  </w:rPr>
                  <w:t>Zelená linka 800 260 500, </w:t>
                </w:r>
                <w:hyperlink r:id="rId4">
                  <w:r>
                    <w:rPr>
                      <w:color w:val="6C777E"/>
                    </w:rPr>
                    <w:t>dotazy@sfzp.cz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741.659973pt;margin-top:551.425232pt;width:18.350pt;height:11pt;mso-position-horizontal-relative:page;mso-position-vertical-relative:page;z-index:-16361472" type="#_x0000_t202" id="docshape2" filled="false" stroked="false">
          <v:textbox inset="0,0,0,0">
            <w:txbxContent>
              <w:p>
                <w:pPr>
                  <w:spacing w:line="203" w:lineRule="exact" w:before="0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/3</w:t>
                </w:r>
              </w:p>
            </w:txbxContent>
          </v:textbox>
          <w10:wrap type="none"/>
        </v:shape>
      </w:pict>
    </w:r>
    <w:r>
      <w:rPr/>
      <w:pict>
        <v:shape style="position:absolute;margin-left:735.150024pt;margin-top:570.575195pt;width:36.85pt;height:9pt;mso-position-horizontal-relative:page;mso-position-vertical-relative:page;z-index:-16360960" type="#_x0000_t202" id="docshape3" filled="false" stroked="false">
          <v:textbox inset="0,0,0,0">
            <w:txbxContent>
              <w:p>
                <w:pPr>
                  <w:pStyle w:val="BodyText"/>
                  <w:spacing w:line="163" w:lineRule="exact"/>
                  <w:ind w:left="20"/>
                </w:pPr>
                <w:r>
                  <w:rPr>
                    <w:color w:val="6C777E"/>
                  </w:rPr>
                  <w:t>04.10.2022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JohnSans Text Pro" w:hAnsi="JohnSans Text Pro" w:eastAsia="JohnSans Text Pro" w:cs="JohnSans Text Pro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JohnSans Text Pro" w:hAnsi="JohnSans Text Pro" w:eastAsia="JohnSans Text Pro" w:cs="JohnSans Text Pro"/>
      <w:sz w:val="14"/>
      <w:szCs w:val="14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160"/>
    </w:pPr>
    <w:rPr>
      <w:rFonts w:ascii="JohnSans Text Pro" w:hAnsi="JohnSans Text Pro" w:eastAsia="JohnSans Text Pro" w:cs="JohnSans Text Pro"/>
      <w:sz w:val="32"/>
      <w:szCs w:val="32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9"/>
      <w:ind w:right="86"/>
      <w:jc w:val="right"/>
    </w:pPr>
    <w:rPr>
      <w:rFonts w:ascii="JohnSans Text Pro" w:hAnsi="JohnSans Text Pro" w:eastAsia="JohnSans Text Pro" w:cs="JohnSans Text Pro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zp.cz/" TargetMode="External"/><Relationship Id="rId2" Type="http://schemas.openxmlformats.org/officeDocument/2006/relationships/hyperlink" Target="http://www.opzp.cz/" TargetMode="External"/><Relationship Id="rId3" Type="http://schemas.openxmlformats.org/officeDocument/2006/relationships/hyperlink" Target="http://www.europa.eu/" TargetMode="External"/><Relationship Id="rId4" Type="http://schemas.openxmlformats.org/officeDocument/2006/relationships/hyperlink" Target="mailto:dotazy@sfzp.cz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2022-11-30T13:25:26Z</dcterms:created>
  <dcterms:modified xsi:type="dcterms:W3CDTF">2022-11-30T13:25:26Z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LastSaved">
    <vt:filetime>2022-11-30T00:00:00Z</vt:filetime>
  </property>
</Properties>
</file>