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90" w:rsidRDefault="00177495">
      <w:pPr>
        <w:pStyle w:val="Bodytext10"/>
        <w:spacing w:before="580" w:after="0"/>
        <w:jc w:val="both"/>
      </w:pPr>
      <w:bookmarkStart w:id="0" w:name="_GoBack"/>
      <w:bookmarkEnd w:id="0"/>
      <w:r>
        <w:t>Městský úřad Kroměříž</w:t>
      </w:r>
    </w:p>
    <w:p w:rsidR="00BE0F90" w:rsidRDefault="00177495">
      <w:pPr>
        <w:pStyle w:val="Bodytext10"/>
        <w:spacing w:after="0"/>
        <w:jc w:val="both"/>
      </w:pPr>
      <w:r>
        <w:t>Odbor investic</w:t>
      </w:r>
    </w:p>
    <w:p w:rsidR="00BE0F90" w:rsidRDefault="00177495">
      <w:pPr>
        <w:pStyle w:val="Bodytext10"/>
        <w:spacing w:after="0"/>
        <w:jc w:val="both"/>
      </w:pPr>
      <w:r>
        <w:t>xxx</w:t>
      </w:r>
    </w:p>
    <w:p w:rsidR="00BE0F90" w:rsidRDefault="00177495">
      <w:pPr>
        <w:pStyle w:val="Bodytext10"/>
        <w:spacing w:after="0"/>
        <w:jc w:val="both"/>
      </w:pPr>
      <w:r>
        <w:t>Velké náměstí 115/1</w:t>
      </w:r>
    </w:p>
    <w:p w:rsidR="00BE0F90" w:rsidRDefault="00177495">
      <w:pPr>
        <w:pStyle w:val="Bodytext10"/>
        <w:spacing w:after="480"/>
        <w:jc w:val="both"/>
      </w:pPr>
      <w:r>
        <w:t>767 01 Kroměříž</w:t>
      </w:r>
    </w:p>
    <w:p w:rsidR="00BE0F90" w:rsidRDefault="00177495">
      <w:pPr>
        <w:pStyle w:val="Heading210"/>
        <w:keepNext/>
        <w:keepLines/>
        <w:jc w:val="both"/>
      </w:pPr>
      <w:bookmarkStart w:id="1" w:name="bookmark0"/>
      <w:bookmarkStart w:id="2" w:name="bookmark1"/>
      <w:bookmarkStart w:id="3" w:name="bookmark2"/>
      <w:r>
        <w:rPr>
          <w:b/>
          <w:bCs/>
        </w:rPr>
        <w:t xml:space="preserve">Věc: </w:t>
      </w:r>
      <w:r>
        <w:t>upozornění na nové skutečnosti v rámci provádění projektové dokumentace „Stezka pro pěší a cyklistickou dopravu Kroměříž - Miňúvky“</w:t>
      </w:r>
      <w:bookmarkEnd w:id="1"/>
      <w:bookmarkEnd w:id="2"/>
      <w:bookmarkEnd w:id="3"/>
    </w:p>
    <w:p w:rsidR="00BE0F90" w:rsidRDefault="00177495">
      <w:pPr>
        <w:pStyle w:val="Bodytext10"/>
        <w:jc w:val="both"/>
      </w:pPr>
      <w:r>
        <w:t>V rámci projekčních prací na akci „Stezka pro pěší a cyklistickou dopravu Kroměříž - Miňúvky“ informuji na základě č. 5.9 smlouvy o dílo SMU326/2020 o skutečnostech, které nebyly před zadáním projekčních prací předpokládány.</w:t>
      </w:r>
    </w:p>
    <w:p w:rsidR="00BE0F90" w:rsidRDefault="00177495">
      <w:pPr>
        <w:pStyle w:val="Bodytext10"/>
        <w:numPr>
          <w:ilvl w:val="0"/>
          <w:numId w:val="1"/>
        </w:numPr>
        <w:tabs>
          <w:tab w:val="left" w:pos="655"/>
        </w:tabs>
        <w:ind w:left="620" w:hanging="300"/>
        <w:jc w:val="both"/>
      </w:pPr>
      <w:bookmarkStart w:id="4" w:name="bookmark3"/>
      <w:bookmarkEnd w:id="4"/>
      <w:r>
        <w:t>Během provádění projekčních prací město postupně získalo do svého vlastnictví části pozemků pod plánovanou trasou, které byly ve vlastnictví Arcibiskupství olomouckého.</w:t>
      </w:r>
    </w:p>
    <w:p w:rsidR="00BE0F90" w:rsidRDefault="00177495">
      <w:pPr>
        <w:pStyle w:val="Bodytext10"/>
        <w:numPr>
          <w:ilvl w:val="0"/>
          <w:numId w:val="1"/>
        </w:numPr>
        <w:tabs>
          <w:tab w:val="left" w:pos="655"/>
        </w:tabs>
        <w:ind w:left="620" w:hanging="300"/>
        <w:jc w:val="both"/>
      </w:pPr>
      <w:bookmarkStart w:id="5" w:name="bookmark4"/>
      <w:bookmarkEnd w:id="5"/>
      <w:r>
        <w:t>Na stavbu bylo vydáno nesouhlasné souhrnné stanovisko Správy železnic zn. 25094/2021-SŽ-OŘ OLC-OPS/JVL dne 5. 11. 2021. V současné době Správa železnic připravuje v dané lokalitě svou investiční akci pod názvem "Modernizace a elektrizace trati Kojetín- Hulín". Tato naše stavba je nyní ve fázi zadávání záměru projektu s předpokladem, že nejdříve bude tento projekt vyhotoven ve 2Q/2022. Do té doby nelze rozhodnout, zda 3 naše výše specifikované pozemky mohou být trvale zastavěny, nebo na nich mohou být provedeny trvalé úpravy.</w:t>
      </w:r>
    </w:p>
    <w:p w:rsidR="00BE0F90" w:rsidRDefault="00177495">
      <w:pPr>
        <w:pStyle w:val="Bodytext10"/>
        <w:numPr>
          <w:ilvl w:val="0"/>
          <w:numId w:val="1"/>
        </w:numPr>
        <w:tabs>
          <w:tab w:val="left" w:pos="655"/>
        </w:tabs>
        <w:ind w:left="620" w:hanging="300"/>
        <w:jc w:val="both"/>
      </w:pPr>
      <w:bookmarkStart w:id="6" w:name="bookmark5"/>
      <w:bookmarkEnd w:id="6"/>
      <w:r>
        <w:t>V místě pod dálniční mostem dochází k zásadnímu ovlivnění stávající stavby dálničního mostu ve správě ŘSD ČR oddělení správy dálnic Morava. Správce mostu požaduje upraví návrhu a posouzení vlivu navrhované stavby cyklostezky tak, že nedojde k přitížení základů mostních pilířů od opěrné zdi cyklostezky.</w:t>
      </w:r>
    </w:p>
    <w:p w:rsidR="00BE0F90" w:rsidRDefault="00177495">
      <w:pPr>
        <w:pStyle w:val="Bodytext10"/>
        <w:jc w:val="both"/>
      </w:pPr>
      <w:r>
        <w:t>Na základě výše uvedených skutečností navrhuji následující:</w:t>
      </w:r>
    </w:p>
    <w:p w:rsidR="00BE0F90" w:rsidRDefault="00177495">
      <w:pPr>
        <w:pStyle w:val="Bodytext10"/>
        <w:numPr>
          <w:ilvl w:val="0"/>
          <w:numId w:val="2"/>
        </w:numPr>
        <w:tabs>
          <w:tab w:val="left" w:pos="655"/>
        </w:tabs>
        <w:ind w:left="620" w:hanging="300"/>
        <w:jc w:val="both"/>
      </w:pPr>
      <w:bookmarkStart w:id="7" w:name="bookmark6"/>
      <w:bookmarkEnd w:id="7"/>
      <w:r>
        <w:t>Nutné zapracování nových skutečností v majetkoprávních vztazích do projektové dokumentace.</w:t>
      </w:r>
    </w:p>
    <w:p w:rsidR="00BE0F90" w:rsidRDefault="00177495">
      <w:pPr>
        <w:pStyle w:val="Bodytext10"/>
        <w:numPr>
          <w:ilvl w:val="0"/>
          <w:numId w:val="2"/>
        </w:numPr>
        <w:tabs>
          <w:tab w:val="left" w:pos="655"/>
        </w:tabs>
        <w:ind w:left="620" w:hanging="300"/>
        <w:jc w:val="both"/>
      </w:pPr>
      <w:bookmarkStart w:id="8" w:name="bookmark7"/>
      <w:bookmarkEnd w:id="8"/>
      <w:r>
        <w:t>Dle informací k dnešnímu datu Správa železnic ještě nepokročila v přípravě svého záměru tak, aby byla schopna přehodnotit své stanovisko. Správa je jasně obeznámena s naším záměrem a bylo přislíbeno, že při přípravě jejich investiční akce bude trasa navrhované cyklostezky zapracována. Zde je nutné vyčkat do doby značné rozpracovanosti jejich investičního záměru, aby mohli vydat nové stanovisko.</w:t>
      </w:r>
    </w:p>
    <w:p w:rsidR="00BE0F90" w:rsidRDefault="00177495">
      <w:pPr>
        <w:pStyle w:val="Bodytext10"/>
        <w:numPr>
          <w:ilvl w:val="0"/>
          <w:numId w:val="2"/>
        </w:numPr>
        <w:tabs>
          <w:tab w:val="left" w:pos="655"/>
        </w:tabs>
        <w:ind w:left="620" w:hanging="300"/>
        <w:jc w:val="both"/>
      </w:pPr>
      <w:bookmarkStart w:id="9" w:name="bookmark8"/>
      <w:bookmarkEnd w:id="9"/>
      <w:r>
        <w:t>Ve věci návrhu stavby cyklostezky pod dálničním mostem proběhly dvě koordinační schůzky na pobočce ŘSD Brno při účasti projektantů a</w:t>
      </w:r>
    </w:p>
    <w:p w:rsidR="00BE0F90" w:rsidRDefault="00177495">
      <w:pPr>
        <w:pStyle w:val="Bodytext10"/>
        <w:ind w:left="660" w:firstLine="40"/>
        <w:jc w:val="both"/>
      </w:pPr>
      <w:r>
        <w:t xml:space="preserve">místostarosty města Kroměříže. Byla zvažována alternativní možnost </w:t>
      </w:r>
      <w:r>
        <w:lastRenderedPageBreak/>
        <w:t>vedení trasy stezky po ocelové lávce místo řešení s opěrnou stěnou, tak aby byly minimalizovány vlivy na založení stávajícího dálničního mostu. Na alternativní řešení bylo doplněno stanovisko nezávislého dopravního specialisty z pohledu právního, bezpečnostního a technického. Srovnání obou variant stezky, původní, s klasickou vozovkou s opěrnou stěnou a novou variantou se stezkou na ocelové lávce, vychází jednoznačně ve prospěch původní varianty. Projekčně se tedy dále zabývám původní variantou. Pro řádný návrh opěrné stěny je nutné doplnit statický výpočet opěrné stěny, statické posouzení základů dálničního mostu a opěrnou stěnu upravit tak, aby byla splněna podmínka, že nedojde k přitížení základů mostních pilířů od opěrné zdi cyklostezky. Původní řešení v zadání definované investičním záměrem uvažovalo s jistou mírou přitížení základů dálničního mostu.</w:t>
      </w:r>
    </w:p>
    <w:p w:rsidR="00BE0F90" w:rsidRDefault="00177495">
      <w:pPr>
        <w:pStyle w:val="Bodytext10"/>
        <w:jc w:val="both"/>
      </w:pPr>
      <w:r>
        <w:t>Vzhledem k výše uvedeným skutečnostem (body 1 a 3) je nutné doplnění a úprava projektové dokumentace nad rámec zadání v investičním záměru a dále sledovat postup přípravy investiční akce Správy železnic (bod 2).</w:t>
      </w:r>
    </w:p>
    <w:p w:rsidR="00BE0F90" w:rsidRDefault="00177495">
      <w:pPr>
        <w:pStyle w:val="Bodytext10"/>
        <w:numPr>
          <w:ilvl w:val="0"/>
          <w:numId w:val="3"/>
        </w:numPr>
        <w:tabs>
          <w:tab w:val="left" w:pos="277"/>
        </w:tabs>
        <w:jc w:val="both"/>
      </w:pPr>
      <w:bookmarkStart w:id="10" w:name="bookmark12"/>
      <w:bookmarkEnd w:id="10"/>
      <w:r>
        <w:t>souvislosti s úpravou a doplněním projektové dokumentace na straně projektanta vznikají vícenáklady na zpracování dokumentace pro stavební povolení (DSP) ve výši 55.000,- Kč + DPH. Žádám tímto o úpravu či dodatek smlouvy o dílo, ve kterém budou zohledněny nové skutečnosti.</w:t>
      </w:r>
    </w:p>
    <w:p w:rsidR="00BE0F90" w:rsidRDefault="00177495">
      <w:pPr>
        <w:pStyle w:val="Bodytext10"/>
        <w:spacing w:after="480"/>
        <w:jc w:val="both"/>
      </w:pPr>
      <w:r>
        <w:t>Děkuji</w:t>
      </w:r>
    </w:p>
    <w:p w:rsidR="00BE0F90" w:rsidRDefault="00177495">
      <w:pPr>
        <w:pStyle w:val="Bodytext10"/>
        <w:spacing w:after="0"/>
        <w:jc w:val="both"/>
      </w:pPr>
      <w:r>
        <w:t>Ing. Jakub Burý</w:t>
      </w:r>
    </w:p>
    <w:p w:rsidR="00BE0F90" w:rsidRDefault="00177495">
      <w:pPr>
        <w:pStyle w:val="Bodytext10"/>
        <w:numPr>
          <w:ilvl w:val="0"/>
          <w:numId w:val="3"/>
        </w:numPr>
        <w:tabs>
          <w:tab w:val="left" w:pos="277"/>
        </w:tabs>
        <w:spacing w:after="480"/>
        <w:jc w:val="both"/>
      </w:pPr>
      <w:bookmarkStart w:id="11" w:name="bookmark13"/>
      <w:bookmarkEnd w:id="11"/>
      <w:r>
        <w:t>Kroměříži dne 10. 10. 2022</w:t>
      </w:r>
    </w:p>
    <w:p w:rsidR="00BE0F90" w:rsidRDefault="00177495">
      <w:pPr>
        <w:pStyle w:val="Bodytext10"/>
      </w:pPr>
      <w:r>
        <w:t>Přílohy:</w:t>
      </w:r>
    </w:p>
    <w:p w:rsidR="00BE0F90" w:rsidRDefault="00177495">
      <w:pPr>
        <w:pStyle w:val="Bodytext10"/>
        <w:numPr>
          <w:ilvl w:val="0"/>
          <w:numId w:val="4"/>
        </w:numPr>
        <w:tabs>
          <w:tab w:val="left" w:pos="629"/>
        </w:tabs>
        <w:spacing w:after="0"/>
        <w:ind w:firstLine="300"/>
        <w:jc w:val="both"/>
      </w:pPr>
      <w:bookmarkStart w:id="12" w:name="bookmark14"/>
      <w:bookmarkEnd w:id="12"/>
      <w:r>
        <w:t>souhrnné stanovisko Správy železnic zn. 25094/2021-SŽ-OŘ OLC-</w:t>
      </w:r>
    </w:p>
    <w:p w:rsidR="00BE0F90" w:rsidRDefault="00177495">
      <w:pPr>
        <w:pStyle w:val="Bodytext10"/>
        <w:ind w:firstLine="660"/>
      </w:pPr>
      <w:r>
        <w:t>OPS/JVL</w:t>
      </w:r>
    </w:p>
    <w:p w:rsidR="00BE0F90" w:rsidRDefault="00177495">
      <w:pPr>
        <w:pStyle w:val="Bodytext10"/>
        <w:numPr>
          <w:ilvl w:val="0"/>
          <w:numId w:val="4"/>
        </w:numPr>
        <w:tabs>
          <w:tab w:val="left" w:pos="629"/>
        </w:tabs>
        <w:ind w:firstLine="300"/>
        <w:jc w:val="both"/>
      </w:pPr>
      <w:bookmarkStart w:id="13" w:name="bookmark15"/>
      <w:bookmarkEnd w:id="13"/>
      <w:r>
        <w:t>záznam z jednání ŘSD ČR</w:t>
      </w:r>
    </w:p>
    <w:sectPr w:rsidR="00BE0F90">
      <w:headerReference w:type="default" r:id="rId7"/>
      <w:pgSz w:w="11900" w:h="16840"/>
      <w:pgMar w:top="2260" w:right="2062" w:bottom="1912" w:left="2056" w:header="0" w:footer="148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2A" w:rsidRDefault="00A36B2A">
      <w:r>
        <w:separator/>
      </w:r>
    </w:p>
  </w:endnote>
  <w:endnote w:type="continuationSeparator" w:id="0">
    <w:p w:rsidR="00A36B2A" w:rsidRDefault="00A3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2A" w:rsidRDefault="00A36B2A"/>
  </w:footnote>
  <w:footnote w:type="continuationSeparator" w:id="0">
    <w:p w:rsidR="00A36B2A" w:rsidRDefault="00A36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95" w:rsidRDefault="00177495" w:rsidP="00177495">
    <w:pPr>
      <w:pStyle w:val="Heading110"/>
      <w:keepNext/>
      <w:keepLines/>
      <w:rPr>
        <w:lang w:val="en-US" w:eastAsia="en-US" w:bidi="en-US"/>
      </w:rPr>
    </w:pPr>
  </w:p>
  <w:p w:rsidR="00177495" w:rsidRDefault="00177495" w:rsidP="00177495">
    <w:pPr>
      <w:pStyle w:val="Heading110"/>
      <w:keepNext/>
      <w:keepLines/>
      <w:rPr>
        <w:lang w:val="en-US" w:eastAsia="en-US" w:bidi="en-US"/>
      </w:rPr>
    </w:pPr>
  </w:p>
  <w:p w:rsidR="00177495" w:rsidRDefault="00177495" w:rsidP="00177495">
    <w:pPr>
      <w:pStyle w:val="Heading110"/>
      <w:keepNext/>
      <w:keepLines/>
      <w:rPr>
        <w:lang w:val="en-US" w:eastAsia="en-US" w:bidi="en-US"/>
      </w:rPr>
    </w:pPr>
  </w:p>
  <w:p w:rsidR="00177495" w:rsidRDefault="00177495" w:rsidP="00177495">
    <w:pPr>
      <w:pStyle w:val="Heading110"/>
      <w:keepNext/>
      <w:keepLines/>
    </w:pPr>
    <w:r>
      <w:rPr>
        <w:lang w:val="en-US" w:eastAsia="en-US" w:bidi="en-US"/>
      </w:rPr>
      <w:t xml:space="preserve">Ing. </w:t>
    </w:r>
    <w:r>
      <w:t>Jakub Burý</w:t>
    </w:r>
  </w:p>
  <w:p w:rsidR="00BE0F90" w:rsidRDefault="00177495" w:rsidP="00177495">
    <w:pPr>
      <w:pStyle w:val="Bodytext10"/>
      <w:spacing w:after="480" w:line="218" w:lineRule="auto"/>
      <w:ind w:left="1360"/>
    </w:pPr>
    <w:r>
      <w:rPr>
        <w:w w:val="70"/>
      </w:rPr>
      <w:t xml:space="preserve">projekty </w:t>
    </w:r>
    <w:r>
      <w:rPr>
        <w:w w:val="70"/>
        <w:lang w:val="en-US" w:eastAsia="en-US" w:bidi="en-US"/>
      </w:rPr>
      <w:t xml:space="preserve">■ </w:t>
    </w:r>
    <w:r>
      <w:rPr>
        <w:w w:val="70"/>
      </w:rPr>
      <w:t>konzultace ■ inzenýring</w:t>
    </w:r>
    <w:r>
      <w:rPr>
        <w:noProof/>
        <w:lang w:bidi="ar-SA"/>
      </w:rPr>
      <mc:AlternateContent>
        <mc:Choice Requires="wps">
          <w:drawing>
            <wp:anchor distT="0" distB="0" distL="0" distR="0" simplePos="0" relativeHeight="62914690" behindDoc="1" locked="0" layoutInCell="1" allowOverlap="1">
              <wp:simplePos x="0" y="0"/>
              <wp:positionH relativeFrom="page">
                <wp:posOffset>5179695</wp:posOffset>
              </wp:positionH>
              <wp:positionV relativeFrom="page">
                <wp:posOffset>850265</wp:posOffset>
              </wp:positionV>
              <wp:extent cx="1048385" cy="527050"/>
              <wp:effectExtent l="0" t="0" r="0" b="0"/>
              <wp:wrapNone/>
              <wp:docPr id="1" name="Shape 1"/>
              <wp:cNvGraphicFramePr/>
              <a:graphic xmlns:a="http://schemas.openxmlformats.org/drawingml/2006/main">
                <a:graphicData uri="http://schemas.microsoft.com/office/word/2010/wordprocessingShape">
                  <wps:wsp>
                    <wps:cNvSpPr txBox="1"/>
                    <wps:spPr>
                      <a:xfrm>
                        <a:off x="0" y="0"/>
                        <a:ext cx="1048385" cy="527050"/>
                      </a:xfrm>
                      <a:prstGeom prst="rect">
                        <a:avLst/>
                      </a:prstGeom>
                      <a:noFill/>
                    </wps:spPr>
                    <wps:txbx>
                      <w:txbxContent>
                        <w:p w:rsidR="00BE0F90" w:rsidRDefault="00177495">
                          <w:pPr>
                            <w:pStyle w:val="Headerorfooter20"/>
                            <w:rPr>
                              <w:sz w:val="14"/>
                              <w:szCs w:val="14"/>
                            </w:rPr>
                          </w:pPr>
                          <w:r>
                            <w:rPr>
                              <w:rFonts w:ascii="Arial" w:eastAsia="Arial" w:hAnsi="Arial" w:cs="Arial"/>
                              <w:sz w:val="14"/>
                              <w:szCs w:val="14"/>
                            </w:rPr>
                            <w:t>xxx</w:t>
                          </w:r>
                        </w:p>
                        <w:p w:rsidR="00BE0F90" w:rsidRDefault="00177495">
                          <w:pPr>
                            <w:pStyle w:val="Headerorfooter20"/>
                            <w:rPr>
                              <w:sz w:val="14"/>
                              <w:szCs w:val="14"/>
                            </w:rPr>
                          </w:pPr>
                          <w:r>
                            <w:rPr>
                              <w:rFonts w:ascii="Arial" w:eastAsia="Arial" w:hAnsi="Arial" w:cs="Arial"/>
                              <w:sz w:val="14"/>
                              <w:szCs w:val="14"/>
                              <w:shd w:val="clear" w:color="auto" w:fill="FFFFFF"/>
                            </w:rPr>
                            <w:t>xxx</w:t>
                          </w:r>
                        </w:p>
                        <w:p w:rsidR="00BE0F90" w:rsidRDefault="00177495">
                          <w:pPr>
                            <w:pStyle w:val="Headerorfooter20"/>
                            <w:rPr>
                              <w:sz w:val="14"/>
                              <w:szCs w:val="14"/>
                            </w:rPr>
                          </w:pPr>
                          <w:r>
                            <w:rPr>
                              <w:rFonts w:ascii="Arial" w:eastAsia="Arial" w:hAnsi="Arial" w:cs="Arial"/>
                              <w:sz w:val="14"/>
                              <w:szCs w:val="14"/>
                              <w:shd w:val="clear" w:color="auto" w:fill="FFFFFF"/>
                            </w:rPr>
                            <w:t>tel: xxx</w:t>
                          </w:r>
                        </w:p>
                        <w:p w:rsidR="00BE0F90" w:rsidRDefault="00177495">
                          <w:pPr>
                            <w:pStyle w:val="Headerorfooter20"/>
                            <w:rPr>
                              <w:sz w:val="14"/>
                              <w:szCs w:val="14"/>
                            </w:rPr>
                          </w:pPr>
                          <w:r>
                            <w:rPr>
                              <w:rFonts w:ascii="Arial" w:eastAsia="Arial" w:hAnsi="Arial" w:cs="Arial"/>
                              <w:sz w:val="14"/>
                              <w:szCs w:val="14"/>
                              <w:shd w:val="clear" w:color="auto" w:fill="FFFFFF"/>
                            </w:rPr>
                            <w:t xml:space="preserve">e-mail: </w:t>
                          </w:r>
                          <w:r>
                            <w:rPr>
                              <w:rFonts w:ascii="Arial" w:eastAsia="Arial" w:hAnsi="Arial" w:cs="Arial"/>
                              <w:sz w:val="14"/>
                              <w:szCs w:val="14"/>
                              <w:shd w:val="clear" w:color="auto" w:fill="FFFFFF"/>
                              <w:lang w:val="en-US" w:eastAsia="en-US" w:bidi="en-US"/>
                            </w:rPr>
                            <w:t>xxx</w:t>
                          </w:r>
                        </w:p>
                        <w:p w:rsidR="00BE0F90" w:rsidRDefault="00177495">
                          <w:pPr>
                            <w:pStyle w:val="Headerorfooter20"/>
                            <w:rPr>
                              <w:sz w:val="14"/>
                              <w:szCs w:val="14"/>
                            </w:rPr>
                          </w:pPr>
                          <w:r>
                            <w:rPr>
                              <w:rFonts w:ascii="Arial" w:eastAsia="Arial" w:hAnsi="Arial" w:cs="Arial"/>
                              <w:sz w:val="14"/>
                              <w:szCs w:val="14"/>
                              <w:lang w:val="en-US" w:eastAsia="en-US" w:bidi="en-US"/>
                            </w:rPr>
                            <w:t>www.bury.cz</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left:0;text-align:left;margin-left:407.85pt;margin-top:66.95pt;width:82.55pt;height:4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" filled="f" stroked="f">
              <v:textbox style="mso-fit-shape-to-text:t" inset="0,0,0,0">
                <w:txbxContent>
                  <w:p w:rsidR="00BE0F90" w:rsidRDefault="00177495">
                    <w:pPr>
                      <w:pStyle w:val="Headerorfooter20"/>
                      <w:rPr>
                        <w:sz w:val="14"/>
                        <w:szCs w:val="14"/>
                      </w:rPr>
                    </w:pPr>
                    <w:proofErr w:type="spellStart"/>
                    <w:r>
                      <w:rPr>
                        <w:rFonts w:ascii="Arial" w:eastAsia="Arial" w:hAnsi="Arial" w:cs="Arial"/>
                        <w:sz w:val="14"/>
                        <w:szCs w:val="14"/>
                      </w:rPr>
                      <w:t>xxx</w:t>
                    </w:r>
                    <w:proofErr w:type="spellEnd"/>
                  </w:p>
                  <w:p w:rsidR="00BE0F90" w:rsidRDefault="00177495">
                    <w:pPr>
                      <w:pStyle w:val="Headerorfooter20"/>
                      <w:rPr>
                        <w:sz w:val="14"/>
                        <w:szCs w:val="14"/>
                      </w:rPr>
                    </w:pPr>
                    <w:proofErr w:type="spellStart"/>
                    <w:r>
                      <w:rPr>
                        <w:rFonts w:ascii="Arial" w:eastAsia="Arial" w:hAnsi="Arial" w:cs="Arial"/>
                        <w:sz w:val="14"/>
                        <w:szCs w:val="14"/>
                        <w:shd w:val="clear" w:color="auto" w:fill="FFFFFF"/>
                      </w:rPr>
                      <w:t>xxx</w:t>
                    </w:r>
                    <w:proofErr w:type="spellEnd"/>
                  </w:p>
                  <w:p w:rsidR="00BE0F90" w:rsidRDefault="00177495">
                    <w:pPr>
                      <w:pStyle w:val="Headerorfooter20"/>
                      <w:rPr>
                        <w:sz w:val="14"/>
                        <w:szCs w:val="14"/>
                      </w:rPr>
                    </w:pPr>
                    <w:r>
                      <w:rPr>
                        <w:rFonts w:ascii="Arial" w:eastAsia="Arial" w:hAnsi="Arial" w:cs="Arial"/>
                        <w:sz w:val="14"/>
                        <w:szCs w:val="14"/>
                        <w:shd w:val="clear" w:color="auto" w:fill="FFFFFF"/>
                      </w:rPr>
                      <w:t xml:space="preserve">tel: </w:t>
                    </w:r>
                    <w:proofErr w:type="spellStart"/>
                    <w:r>
                      <w:rPr>
                        <w:rFonts w:ascii="Arial" w:eastAsia="Arial" w:hAnsi="Arial" w:cs="Arial"/>
                        <w:sz w:val="14"/>
                        <w:szCs w:val="14"/>
                        <w:shd w:val="clear" w:color="auto" w:fill="FFFFFF"/>
                      </w:rPr>
                      <w:t>xxx</w:t>
                    </w:r>
                    <w:proofErr w:type="spellEnd"/>
                  </w:p>
                  <w:p w:rsidR="00BE0F90" w:rsidRDefault="00177495">
                    <w:pPr>
                      <w:pStyle w:val="Headerorfooter20"/>
                      <w:rPr>
                        <w:sz w:val="14"/>
                        <w:szCs w:val="14"/>
                      </w:rPr>
                    </w:pPr>
                    <w:r>
                      <w:rPr>
                        <w:rFonts w:ascii="Arial" w:eastAsia="Arial" w:hAnsi="Arial" w:cs="Arial"/>
                        <w:sz w:val="14"/>
                        <w:szCs w:val="14"/>
                        <w:shd w:val="clear" w:color="auto" w:fill="FFFFFF"/>
                      </w:rPr>
                      <w:t xml:space="preserve">e-mail: </w:t>
                    </w:r>
                    <w:r>
                      <w:rPr>
                        <w:rFonts w:ascii="Arial" w:eastAsia="Arial" w:hAnsi="Arial" w:cs="Arial"/>
                        <w:sz w:val="14"/>
                        <w:szCs w:val="14"/>
                        <w:shd w:val="clear" w:color="auto" w:fill="FFFFFF"/>
                        <w:lang w:val="en-US" w:eastAsia="en-US" w:bidi="en-US"/>
                      </w:rPr>
                      <w:t>xxx</w:t>
                    </w:r>
                  </w:p>
                  <w:p w:rsidR="00BE0F90" w:rsidRDefault="00177495">
                    <w:pPr>
                      <w:pStyle w:val="Headerorfooter20"/>
                      <w:rPr>
                        <w:sz w:val="14"/>
                        <w:szCs w:val="14"/>
                      </w:rPr>
                    </w:pPr>
                    <w:r>
                      <w:rPr>
                        <w:rFonts w:ascii="Arial" w:eastAsia="Arial" w:hAnsi="Arial" w:cs="Arial"/>
                        <w:sz w:val="14"/>
                        <w:szCs w:val="14"/>
                        <w:lang w:val="en-US" w:eastAsia="en-US" w:bidi="en-US"/>
                      </w:rPr>
                      <w:t>www.bury.cz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025"/>
    <w:multiLevelType w:val="multilevel"/>
    <w:tmpl w:val="B300B6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D2026"/>
    <w:multiLevelType w:val="multilevel"/>
    <w:tmpl w:val="3482CC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9E71EF"/>
    <w:multiLevelType w:val="multilevel"/>
    <w:tmpl w:val="6A3CF3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314580"/>
    <w:multiLevelType w:val="multilevel"/>
    <w:tmpl w:val="F1B8A728"/>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90"/>
    <w:rsid w:val="00177495"/>
    <w:rsid w:val="00406F6B"/>
    <w:rsid w:val="00A36B2A"/>
    <w:rsid w:val="00BE0F90"/>
    <w:rsid w:val="00DF08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158D0-BCEA-4E0E-964F-7D8C50C3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22"/>
      <w:szCs w:val="22"/>
      <w:u w:val="none"/>
      <w:shd w:val="clear" w:color="auto" w:fill="auto"/>
    </w:rPr>
  </w:style>
  <w:style w:type="character" w:customStyle="1" w:styleId="Headerorfooter2">
    <w:name w:val="Header or footer|2_"/>
    <w:basedOn w:val="Standardnpsmoodstavce"/>
    <w:link w:val="Headerorfooter20"/>
    <w:rPr>
      <w:b w:val="0"/>
      <w:bCs w:val="0"/>
      <w:i w:val="0"/>
      <w:iCs w:val="0"/>
      <w:smallCaps w:val="0"/>
      <w:strike w:val="0"/>
      <w:sz w:val="20"/>
      <w:szCs w:val="20"/>
      <w:u w:val="none"/>
      <w:shd w:val="clear" w:color="auto" w:fill="auto"/>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26"/>
      <w:szCs w:val="26"/>
      <w:u w:val="none"/>
      <w:shd w:val="clear" w:color="auto" w:fill="auto"/>
    </w:rPr>
  </w:style>
  <w:style w:type="character" w:customStyle="1" w:styleId="Heading11">
    <w:name w:val="Heading #1|1_"/>
    <w:basedOn w:val="Standardnpsmoodstavce"/>
    <w:link w:val="Heading110"/>
    <w:rPr>
      <w:rFonts w:ascii="Arial" w:eastAsia="Arial" w:hAnsi="Arial" w:cs="Arial"/>
      <w:b/>
      <w:bCs/>
      <w:i w:val="0"/>
      <w:iCs w:val="0"/>
      <w:smallCaps w:val="0"/>
      <w:strike w:val="0"/>
      <w:w w:val="80"/>
      <w:sz w:val="38"/>
      <w:szCs w:val="38"/>
      <w:u w:val="none"/>
      <w:shd w:val="clear" w:color="auto" w:fill="auto"/>
    </w:rPr>
  </w:style>
  <w:style w:type="paragraph" w:customStyle="1" w:styleId="Bodytext10">
    <w:name w:val="Body text|1"/>
    <w:basedOn w:val="Normln"/>
    <w:link w:val="Bodytext1"/>
    <w:pPr>
      <w:spacing w:after="100"/>
    </w:pPr>
    <w:rPr>
      <w:rFonts w:ascii="Arial" w:eastAsia="Arial" w:hAnsi="Arial" w:cs="Arial"/>
      <w:sz w:val="22"/>
      <w:szCs w:val="22"/>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480"/>
      <w:outlineLvl w:val="1"/>
    </w:pPr>
    <w:rPr>
      <w:rFonts w:ascii="Arial" w:eastAsia="Arial" w:hAnsi="Arial" w:cs="Arial"/>
      <w:sz w:val="26"/>
      <w:szCs w:val="26"/>
    </w:rPr>
  </w:style>
  <w:style w:type="paragraph" w:customStyle="1" w:styleId="Heading110">
    <w:name w:val="Heading #1|1"/>
    <w:basedOn w:val="Normln"/>
    <w:link w:val="Heading11"/>
    <w:pPr>
      <w:ind w:left="1360"/>
      <w:outlineLvl w:val="0"/>
    </w:pPr>
    <w:rPr>
      <w:rFonts w:ascii="Arial" w:eastAsia="Arial" w:hAnsi="Arial" w:cs="Arial"/>
      <w:b/>
      <w:bCs/>
      <w:w w:val="80"/>
      <w:sz w:val="38"/>
      <w:szCs w:val="38"/>
    </w:rPr>
  </w:style>
  <w:style w:type="paragraph" w:styleId="Zhlav">
    <w:name w:val="header"/>
    <w:basedOn w:val="Normln"/>
    <w:link w:val="ZhlavChar"/>
    <w:uiPriority w:val="99"/>
    <w:unhideWhenUsed/>
    <w:rsid w:val="00177495"/>
    <w:pPr>
      <w:tabs>
        <w:tab w:val="center" w:pos="4536"/>
        <w:tab w:val="right" w:pos="9072"/>
      </w:tabs>
    </w:pPr>
  </w:style>
  <w:style w:type="character" w:customStyle="1" w:styleId="ZhlavChar">
    <w:name w:val="Záhlaví Char"/>
    <w:basedOn w:val="Standardnpsmoodstavce"/>
    <w:link w:val="Zhlav"/>
    <w:uiPriority w:val="99"/>
    <w:rsid w:val="00177495"/>
    <w:rPr>
      <w:color w:val="000000"/>
    </w:rPr>
  </w:style>
  <w:style w:type="paragraph" w:styleId="Zpat">
    <w:name w:val="footer"/>
    <w:basedOn w:val="Normln"/>
    <w:link w:val="ZpatChar"/>
    <w:uiPriority w:val="99"/>
    <w:unhideWhenUsed/>
    <w:rsid w:val="00177495"/>
    <w:pPr>
      <w:tabs>
        <w:tab w:val="center" w:pos="4536"/>
        <w:tab w:val="right" w:pos="9072"/>
      </w:tabs>
    </w:pPr>
  </w:style>
  <w:style w:type="character" w:customStyle="1" w:styleId="ZpatChar">
    <w:name w:val="Zápatí Char"/>
    <w:basedOn w:val="Standardnpsmoodstavce"/>
    <w:link w:val="Zpat"/>
    <w:uiPriority w:val="99"/>
    <w:rsid w:val="0017749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Kováčiková</dc:creator>
  <cp:keywords/>
  <cp:lastModifiedBy>Krejčiříková Jaroslava</cp:lastModifiedBy>
  <cp:revision>2</cp:revision>
  <dcterms:created xsi:type="dcterms:W3CDTF">2022-12-01T07:57:00Z</dcterms:created>
  <dcterms:modified xsi:type="dcterms:W3CDTF">2022-12-01T07:57:00Z</dcterms:modified>
</cp:coreProperties>
</file>