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5.95pt;margin-top:235.05pt;width:727.7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95pt;margin-top:235.05pt;width:0;height:123.35pt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95pt;margin-top:358.4pt;width:727.7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783.65pt;margin-top:235.05pt;width:0;height:123.35pt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6.45pt;margin-top:139.75pt;width:727.2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56.45pt;margin-top:139.75pt;width:0;height:75.6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56.45pt;margin-top:215.35pt;width:727.2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783.65pt;margin-top:139.75pt;width:0;height:75.6pt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55.95pt;margin-top:377.6pt;width:727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95pt;margin-top:377.6pt;width:0;height:62.65pt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95pt;margin-top:440.25pt;width:727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783.4pt;margin-top:377.6pt;width:0;height:62.65pt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5pt;margin-top:479.35pt;width:727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5pt;margin-top:479.35pt;width:0;height:42.95pt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55.5pt;margin-top:522.3pt;width:727.4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782.95pt;margin-top:479.35pt;width:0;height:42.95pt;z-index:-251658240;mso-position-horizontal-relative:page;mso-position-vertical-relative:page">
            <v:stroke weight="1.2pt"/>
          </v:shape>
        </w:pict>
      </w:r>
    </w:p>
    <w:p>
      <w:pPr>
        <w:pStyle w:val="Style2"/>
        <w:framePr w:wrap="none" w:vAnchor="page" w:hAnchor="page" w:x="7317" w:y="124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Objednávkový formulář</w:t>
      </w:r>
      <w:bookmarkEnd w:id="0"/>
    </w:p>
    <w:p>
      <w:pPr>
        <w:pStyle w:val="Style4"/>
        <w:framePr w:wrap="none" w:vAnchor="page" w:hAnchor="page" w:x="1773" w:y="20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Kurz ČNB ke dni vystavení objednávky:</w:t>
      </w:r>
    </w:p>
    <w:p>
      <w:pPr>
        <w:pStyle w:val="Style4"/>
        <w:framePr w:wrap="none" w:vAnchor="page" w:hAnchor="page" w:x="5402" w:y="2051"/>
        <w:tabs>
          <w:tab w:leader="none" w:pos="11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24,340</w:t>
        <w:tab/>
        <w:t>Kč/euro</w:t>
      </w:r>
    </w:p>
    <w:tbl>
      <w:tblPr>
        <w:tblOverlap w:val="never"/>
        <w:tblLayout w:type="fixed"/>
        <w:jc w:val="left"/>
      </w:tblPr>
      <w:tblGrid>
        <w:gridCol w:w="3442"/>
        <w:gridCol w:w="1464"/>
        <w:gridCol w:w="1464"/>
        <w:gridCol w:w="1464"/>
        <w:gridCol w:w="1474"/>
        <w:gridCol w:w="725"/>
        <w:gridCol w:w="1128"/>
        <w:gridCol w:w="1138"/>
        <w:gridCol w:w="1128"/>
        <w:gridCol w:w="1147"/>
      </w:tblGrid>
      <w:tr>
        <w:trPr>
          <w:trHeight w:val="422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20" w:right="0" w:firstLine="0"/>
            </w:pPr>
            <w:r>
              <w:rPr>
                <w:rStyle w:val="CharStyle6"/>
              </w:rPr>
              <w:t>Stolní počítač a jeho modifikace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1541" w:wrap="none" w:vAnchor="page" w:hAnchor="page" w:x="1116" w:y="2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Dedikovaná grafická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karta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3" w:lineRule="exact"/>
              <w:ind w:left="180" w:right="18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200" w:right="220" w:firstLine="0"/>
            </w:pPr>
            <w:r>
              <w:rPr>
                <w:rStyle w:val="CharStyle7"/>
              </w:rPr>
              <w:t xml:space="preserve">Výkonnější procesor </w:t>
            </w:r>
            <w:r>
              <w:rPr>
                <w:rStyle w:val="CharStyle8"/>
              </w:rPr>
              <w:t>Ryzen 3 PRO 5350G (P/N: SBB1B52957)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Optická mechanika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(P/N: SBB1B51320)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7"/>
              </w:rPr>
              <w:t>Rozšíření operační paměti na 16 GB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240" w:right="0" w:firstLine="0"/>
            </w:pPr>
            <w:r>
              <w:rPr>
                <w:rStyle w:val="CharStyle8"/>
              </w:rPr>
              <w:t>(P/N: SBB0T20046)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 PC v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požadované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modifikaci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2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 PC v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požadované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modifikaci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3" w:lineRule="exact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Cena celkem za PC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20" w:right="0" w:firstLine="0"/>
            </w:pPr>
            <w:r>
              <w:rPr>
                <w:rStyle w:val="CharStyle7"/>
              </w:rPr>
              <w:t>v požadované modifikaci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2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Cena celkem za PC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20" w:right="0" w:firstLine="0"/>
            </w:pPr>
            <w:r>
              <w:rPr>
                <w:rStyle w:val="CharStyle7"/>
              </w:rPr>
              <w:t>v požadované modifikaci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8" w:lineRule="exact"/>
              <w:ind w:left="2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Stolní počítač (modifikace 1)</w:t>
            </w:r>
          </w:p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ThinkCentre M75s Gen2 (P/N:11JACT01WW)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73" w:h="1541" w:wrap="none" w:vAnchor="page" w:hAnchor="page" w:x="1116" w:y="27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2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9"/>
              </w:rPr>
              <w:t>X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515,46 €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12 546,30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1030,92 €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1541" w:wrap="none" w:vAnchor="page" w:hAnchor="page" w:x="1116" w:y="27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25 092,59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312"/>
        <w:gridCol w:w="720"/>
        <w:gridCol w:w="1128"/>
        <w:gridCol w:w="1138"/>
        <w:gridCol w:w="1128"/>
        <w:gridCol w:w="1147"/>
      </w:tblGrid>
      <w:tr>
        <w:trPr>
          <w:trHeight w:val="422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Příslušenství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A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 24P2Q (P/N: 24P2Q) nebo Philips 241B8QJEB (P/N: 241B8QJEB/00)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125,84 €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3 062,95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251,68 €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6 125,89 Kč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Monitor B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AOC Q27P2Q (P/N: Q27P2Q)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2486" w:wrap="none" w:vAnchor="page" w:hAnchor="page" w:x="1111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196,02 €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4 771,13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Standardní klávesnice (bez čtečky smart card)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Pro ll-CZ (P/N: 4X30M86887)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</w:tcBorders>
            <w:vAlign w:val="top"/>
          </w:tcPr>
          <w:p>
            <w:pPr>
              <w:framePr w:w="14573" w:h="2486" w:wrap="none" w:vAnchor="page" w:hAnchor="page" w:x="1111" w:y="46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21,78 €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530,13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Klávesnice se čtečkou čipových karet</w:t>
            </w:r>
          </w:p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Lenovo klávesnice USB Black Preferred Smartcard reader - CZ (P/N: 4X30E51008)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31,46 €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765,74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62,92 €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73" w:h="2486" w:wrap="none" w:vAnchor="page" w:hAnchor="page" w:x="1111" w:y="469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1 531,47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9307"/>
        <w:gridCol w:w="725"/>
        <w:gridCol w:w="1128"/>
        <w:gridCol w:w="1133"/>
        <w:gridCol w:w="1128"/>
        <w:gridCol w:w="1147"/>
      </w:tblGrid>
      <w:tr>
        <w:trPr>
          <w:trHeight w:val="427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6" w:lineRule="exact"/>
              <w:ind w:left="20" w:right="0" w:firstLine="0"/>
            </w:pPr>
            <w:r>
              <w:rPr>
                <w:rStyle w:val="CharStyle6"/>
              </w:rPr>
              <w:t>Volitelné komponenty pro samoinstalaci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za 1 ks</w:t>
            </w:r>
          </w:p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eurech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Cena celkem</w:t>
            </w:r>
          </w:p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7"/>
              </w:rPr>
              <w:t>v Kč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Dedikovaná grafická karta</w:t>
            </w:r>
          </w:p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NVIDIA Quadro P620 (P/N: 4X60R60468)</w:t>
            </w:r>
          </w:p>
        </w:tc>
        <w:tc>
          <w:tcPr>
            <w:shd w:val="clear" w:color="auto" w:fill="A0A4A5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568" w:h="1272" w:wrap="none" w:vAnchor="page" w:hAnchor="page" w:x="1111" w:y="7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151,25 €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3 681,43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1272" w:wrap="none" w:vAnchor="page" w:hAnchor="page" w:x="1111" w:y="7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-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8501"/>
        <w:gridCol w:w="6067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878" w:wrap="none" w:vAnchor="page" w:hAnchor="page" w:x="1101" w:y="9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Cena celkem za objednávku včetně DPH v eurech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4568" w:h="878" w:wrap="none" w:vAnchor="page" w:hAnchor="page" w:x="1101" w:y="95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6" w:lineRule="exact"/>
              <w:ind w:left="0" w:right="0" w:firstLine="0"/>
            </w:pPr>
            <w:r>
              <w:rPr>
                <w:rStyle w:val="CharStyle6"/>
              </w:rPr>
              <w:t>1 345,52 €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878" w:wrap="none" w:vAnchor="page" w:hAnchor="page" w:x="1101" w:y="9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Cena celkem za objednávku včetně DPH v Kč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14568" w:h="878" w:wrap="none" w:vAnchor="page" w:hAnchor="page" w:x="1101" w:y="95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8" w:lineRule="exact"/>
              <w:ind w:left="0" w:right="0" w:firstLine="0"/>
            </w:pPr>
            <w:r>
              <w:rPr>
                <w:rStyle w:val="CharStyle10"/>
              </w:rPr>
              <w:t>32 749,96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6">
    <w:name w:val="Body text|2 + 7 pt,Bold"/>
    <w:basedOn w:val="CharStyle5"/>
    <w:rPr>
      <w:lang w:val="cs-CZ" w:eastAsia="cs-CZ" w:bidi="cs-CZ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7">
    <w:name w:val="Body text|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|2 + Italic"/>
    <w:basedOn w:val="CharStyle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9">
    <w:name w:val="Body text|2 + 12 pt,Scaling 75%"/>
    <w:basedOn w:val="CharStyle5"/>
    <w:rPr>
      <w:lang w:val="cs-CZ" w:eastAsia="cs-CZ" w:bidi="cs-CZ"/>
      <w:sz w:val="24"/>
      <w:szCs w:val="24"/>
      <w:w w:val="75"/>
      <w:spacing w:val="0"/>
      <w:color w:val="000000"/>
      <w:position w:val="0"/>
    </w:rPr>
  </w:style>
  <w:style w:type="character" w:customStyle="1" w:styleId="CharStyle10">
    <w:name w:val="Body text|2 + 8 pt,Bold"/>
    <w:basedOn w:val="CharStyle5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212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