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4A37" w14:textId="77777777" w:rsidR="00541A1E" w:rsidRDefault="00E875F5">
      <w:pPr>
        <w:pStyle w:val="Bezmezer"/>
      </w:pPr>
      <w:r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338B4A38" w14:textId="77777777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338B4A39" w14:textId="6B7988CB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>Zastoupená: xxxxxxxx</w:t>
      </w:r>
    </w:p>
    <w:p w14:paraId="338B4A3A" w14:textId="77777777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>Sídlo: V Pevnosti 159/5b, 128 00 Praha 2</w:t>
      </w:r>
    </w:p>
    <w:p w14:paraId="338B4A3B" w14:textId="77777777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>IČO: 00419745, DIČ: CZ00419745, IDDS: h528pgw</w:t>
      </w:r>
    </w:p>
    <w:p w14:paraId="338B4A3C" w14:textId="77777777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 xml:space="preserve">Bankovní </w:t>
      </w:r>
      <w:r>
        <w:rPr>
          <w:rFonts w:ascii="Times New Roman" w:hAnsi="Times New Roman" w:cs="Times New Roman"/>
          <w:sz w:val="20"/>
          <w:szCs w:val="20"/>
        </w:rPr>
        <w:t>spojení: PPF banka, a.s.</w:t>
      </w:r>
    </w:p>
    <w:p w14:paraId="338B4A3D" w14:textId="75EF12DB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>Číslo účtu: xxxxxxxxxxxxxxx</w:t>
      </w:r>
    </w:p>
    <w:p w14:paraId="338B4A3E" w14:textId="77777777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>(dále jen „Objednatel“)</w:t>
      </w:r>
    </w:p>
    <w:p w14:paraId="338B4A3F" w14:textId="77777777" w:rsidR="00541A1E" w:rsidRDefault="00541A1E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8B4A40" w14:textId="77777777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>a</w:t>
      </w:r>
    </w:p>
    <w:p w14:paraId="338B4A41" w14:textId="77777777" w:rsidR="00541A1E" w:rsidRDefault="00541A1E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8B4A42" w14:textId="77777777" w:rsidR="00541A1E" w:rsidRDefault="00E875F5">
      <w:pPr>
        <w:pStyle w:val="Bezmezer"/>
      </w:pPr>
      <w:r>
        <w:rPr>
          <w:rFonts w:ascii="Times New Roman" w:hAnsi="Times New Roman" w:cs="Times New Roman"/>
          <w:b/>
          <w:bCs/>
          <w:sz w:val="20"/>
          <w:szCs w:val="20"/>
        </w:rPr>
        <w:t>Aquastart spol. s r.o.</w:t>
      </w:r>
    </w:p>
    <w:p w14:paraId="338B4A43" w14:textId="77777777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>Sídlo: Kostelecká 131,250 63 Mratín</w:t>
      </w:r>
    </w:p>
    <w:p w14:paraId="338B4A44" w14:textId="77777777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>společnost zapsaná pod spisovou značkou C 34110  u Městského soudu v Praze</w:t>
      </w:r>
    </w:p>
    <w:p w14:paraId="338B4A45" w14:textId="77777777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>IČO: 49827405, DIČ: CZ49827405, IDDS: jzd</w:t>
      </w:r>
      <w:r>
        <w:rPr>
          <w:rFonts w:ascii="Times New Roman" w:hAnsi="Times New Roman" w:cs="Times New Roman"/>
          <w:sz w:val="20"/>
          <w:szCs w:val="20"/>
        </w:rPr>
        <w:t>t3vc</w:t>
      </w:r>
    </w:p>
    <w:p w14:paraId="338B4A46" w14:textId="77777777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>Číslo účtu: 462501379/0800</w:t>
      </w:r>
    </w:p>
    <w:p w14:paraId="338B4A47" w14:textId="77777777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>(dále jen „poskytovatel“)</w:t>
      </w:r>
    </w:p>
    <w:p w14:paraId="338B4A48" w14:textId="77777777" w:rsidR="00541A1E" w:rsidRDefault="00541A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38B4A49" w14:textId="77777777" w:rsidR="00541A1E" w:rsidRDefault="00E875F5">
      <w:pPr>
        <w:pStyle w:val="Bezmezer"/>
      </w:pPr>
      <w:r>
        <w:rPr>
          <w:rFonts w:ascii="Times New Roman" w:hAnsi="Times New Roman" w:cs="Times New Roman"/>
          <w:sz w:val="20"/>
          <w:szCs w:val="20"/>
        </w:rPr>
        <w:t>(společně též jako „smluvní strany“)</w:t>
      </w:r>
    </w:p>
    <w:p w14:paraId="338B4A4A" w14:textId="77777777" w:rsidR="00541A1E" w:rsidRDefault="00541A1E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8B4A4B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sz w:val="20"/>
          <w:szCs w:val="20"/>
        </w:rPr>
        <w:t>uzavírají mezi sebou níže uvedeného dne, měsíce a roku na základě ustanovení § 1746 odst. 2</w:t>
      </w:r>
    </w:p>
    <w:p w14:paraId="338B4A4C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zákona č. 89/2012 Sb., občanský zákoník, ve znění </w:t>
      </w:r>
      <w:r>
        <w:rPr>
          <w:rFonts w:ascii="Times New Roman" w:hAnsi="Times New Roman" w:cs="Times New Roman"/>
          <w:sz w:val="20"/>
          <w:szCs w:val="20"/>
        </w:rPr>
        <w:t>pozdějších předpisů, tuto</w:t>
      </w:r>
    </w:p>
    <w:p w14:paraId="338B4A4D" w14:textId="77777777" w:rsidR="00541A1E" w:rsidRDefault="00541A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38B4A4E" w14:textId="77777777" w:rsidR="00541A1E" w:rsidRDefault="00541A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38B4A4F" w14:textId="77777777" w:rsidR="00541A1E" w:rsidRDefault="00E875F5">
      <w:pPr>
        <w:pStyle w:val="Standard"/>
        <w:spacing w:line="276" w:lineRule="auto"/>
        <w:jc w:val="center"/>
      </w:pPr>
      <w:r>
        <w:rPr>
          <w:b/>
          <w:sz w:val="28"/>
          <w:szCs w:val="28"/>
        </w:rPr>
        <w:t>Smlouvu o poskytování servisních prací a služeb</w:t>
      </w:r>
    </w:p>
    <w:p w14:paraId="338B4A50" w14:textId="77777777" w:rsidR="00541A1E" w:rsidRDefault="00E875F5">
      <w:pPr>
        <w:pStyle w:val="Standard"/>
        <w:spacing w:line="276" w:lineRule="auto"/>
        <w:jc w:val="center"/>
      </w:pPr>
      <w:r>
        <w:rPr>
          <w:bCs/>
        </w:rPr>
        <w:t>(dále jen „smlouva“)</w:t>
      </w:r>
      <w:bookmarkStart w:id="0" w:name="_Hlk56366978"/>
      <w:bookmarkEnd w:id="0"/>
    </w:p>
    <w:p w14:paraId="338B4A51" w14:textId="77777777" w:rsidR="00541A1E" w:rsidRDefault="00541A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38B4A52" w14:textId="77777777" w:rsidR="00541A1E" w:rsidRDefault="00541A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38B4A53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Článek I.</w:t>
      </w:r>
    </w:p>
    <w:p w14:paraId="338B4A54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Předmět smlouvy</w:t>
      </w:r>
    </w:p>
    <w:p w14:paraId="338B4A55" w14:textId="77777777" w:rsidR="00541A1E" w:rsidRDefault="00541A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38B4A56" w14:textId="77777777" w:rsidR="00541A1E" w:rsidRDefault="00E875F5">
      <w:pPr>
        <w:pStyle w:val="Standard"/>
        <w:widowControl w:val="0"/>
        <w:numPr>
          <w:ilvl w:val="0"/>
          <w:numId w:val="10"/>
        </w:numPr>
        <w:ind w:left="0" w:right="147" w:firstLine="0"/>
      </w:pPr>
      <w:r>
        <w:rPr>
          <w:rFonts w:cs="Calibri"/>
        </w:rPr>
        <w:t>Předmětem této smlouvy je závazek dodavatele poskytovat za podmínek uvedených v této smlouvě objednateli servisní služby, spočívaj</w:t>
      </w:r>
      <w:r>
        <w:rPr>
          <w:rFonts w:cs="Calibri"/>
        </w:rPr>
        <w:t xml:space="preserve">ící v zprovoznění a zazimování automatického zavlažovacího systému v areálu Národní kulturní památky Vyšehrad (dále jen „NKPV“).  </w:t>
      </w:r>
    </w:p>
    <w:p w14:paraId="338B4A57" w14:textId="77777777" w:rsidR="00541A1E" w:rsidRDefault="00541A1E">
      <w:pPr>
        <w:pStyle w:val="Standard"/>
        <w:widowControl w:val="0"/>
        <w:ind w:left="360" w:right="147"/>
        <w:rPr>
          <w:rFonts w:cs="Calibri"/>
        </w:rPr>
      </w:pPr>
    </w:p>
    <w:p w14:paraId="338B4A58" w14:textId="77777777" w:rsidR="00541A1E" w:rsidRDefault="00541A1E">
      <w:pPr>
        <w:pStyle w:val="Standard"/>
        <w:widowControl w:val="0"/>
        <w:ind w:left="360" w:right="147"/>
        <w:rPr>
          <w:rFonts w:cs="Calibri"/>
        </w:rPr>
      </w:pPr>
    </w:p>
    <w:p w14:paraId="338B4A59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Článek II.</w:t>
      </w:r>
    </w:p>
    <w:p w14:paraId="338B4A5A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Poskytovatel se zavazuje:</w:t>
      </w:r>
    </w:p>
    <w:p w14:paraId="338B4A5B" w14:textId="77777777" w:rsidR="00541A1E" w:rsidRDefault="00541A1E">
      <w:pPr>
        <w:pStyle w:val="Bezmezer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8B4A5C" w14:textId="77777777" w:rsidR="00541A1E" w:rsidRDefault="00E875F5">
      <w:pPr>
        <w:pStyle w:val="Standard"/>
        <w:widowControl w:val="0"/>
        <w:numPr>
          <w:ilvl w:val="0"/>
          <w:numId w:val="11"/>
        </w:numPr>
        <w:ind w:left="0" w:right="147" w:firstLine="0"/>
        <w:jc w:val="both"/>
      </w:pPr>
      <w:r>
        <w:t>Provést tyto servisní práce:</w:t>
      </w:r>
    </w:p>
    <w:p w14:paraId="338B4A5D" w14:textId="77777777" w:rsidR="00541A1E" w:rsidRDefault="00E875F5">
      <w:pPr>
        <w:pStyle w:val="Standard"/>
        <w:widowControl w:val="0"/>
        <w:numPr>
          <w:ilvl w:val="1"/>
          <w:numId w:val="4"/>
        </w:numPr>
        <w:ind w:left="0" w:right="147" w:firstLine="0"/>
        <w:jc w:val="both"/>
      </w:pPr>
      <w:r>
        <w:t xml:space="preserve">nejpozději do 15. 5. obnovit provoz </w:t>
      </w:r>
      <w:r>
        <w:t>automatického zavlažovacího zařízení (dále jen „závlah“) spočívají v zprovoznění a celkové kontrole závlah, seřízení postřikovačů a nastavení počítače; provedení nutných oprav pro zprovoznění závlah, spočívající v práci technika a dodávce potřebného materi</w:t>
      </w:r>
      <w:r>
        <w:t>álu;</w:t>
      </w:r>
    </w:p>
    <w:p w14:paraId="338B4A5E" w14:textId="77777777" w:rsidR="00541A1E" w:rsidRDefault="00E875F5">
      <w:pPr>
        <w:pStyle w:val="Standard"/>
        <w:widowControl w:val="0"/>
        <w:numPr>
          <w:ilvl w:val="1"/>
          <w:numId w:val="4"/>
        </w:numPr>
        <w:ind w:left="0" w:right="147" w:firstLine="0"/>
        <w:jc w:val="both"/>
      </w:pPr>
      <w:r>
        <w:t>nejpozději do 30. 11. provést odvodnění systému stlačeným vzduchem;</w:t>
      </w:r>
    </w:p>
    <w:p w14:paraId="338B4A5F" w14:textId="77777777" w:rsidR="00541A1E" w:rsidRDefault="00E875F5">
      <w:pPr>
        <w:pStyle w:val="Standard"/>
        <w:widowControl w:val="0"/>
        <w:numPr>
          <w:ilvl w:val="1"/>
          <w:numId w:val="4"/>
        </w:numPr>
        <w:ind w:left="0" w:right="147" w:firstLine="0"/>
        <w:jc w:val="both"/>
      </w:pPr>
      <w:r>
        <w:t>provádět mimořádné opravy závlah; tyto opravy jsou objednávány na základě vyžádaného výjezdu Objednatele a naceněny dle sjednané hodinové sazby za práci a dopravné uvedené v této smlo</w:t>
      </w:r>
      <w:r>
        <w:t xml:space="preserve">uvě. Ceny materiálu nejsou předmětem této smlouvy. Materiál je naceněn podle aktuálního ceníku platného pro daný rok. Po zjištění rozsahu závady a kontrole závlah je poskytovatel povinen zaslat cenovou nabídku na realizaci mimořádné opravy a realizovat ji </w:t>
      </w:r>
      <w:r>
        <w:t>až poté, co obdrží objednávku na tuto opravu.</w:t>
      </w:r>
    </w:p>
    <w:p w14:paraId="338B4A60" w14:textId="77777777" w:rsidR="00541A1E" w:rsidRDefault="00E875F5">
      <w:pPr>
        <w:pStyle w:val="Standard"/>
        <w:widowControl w:val="0"/>
        <w:numPr>
          <w:ilvl w:val="0"/>
          <w:numId w:val="4"/>
        </w:numPr>
        <w:ind w:left="0" w:right="147" w:firstLine="0"/>
        <w:jc w:val="both"/>
      </w:pPr>
      <w:r>
        <w:t>Komunikace smluvních stran při poskytování servisních prací a služeb bude probíhat prostřednictvím pověřených osob.  V případě změny pověřených osob, jsou smluvní strany povinni tyto skutečnosti neprodleně ohlá</w:t>
      </w:r>
      <w:r>
        <w:t>sit druhé smluvní straně.</w:t>
      </w:r>
    </w:p>
    <w:p w14:paraId="338B4A61" w14:textId="3B9DF880" w:rsidR="00541A1E" w:rsidRDefault="00E875F5">
      <w:pPr>
        <w:pStyle w:val="Odstavecseseznamem"/>
        <w:widowControl w:val="0"/>
        <w:numPr>
          <w:ilvl w:val="0"/>
          <w:numId w:val="12"/>
        </w:numPr>
        <w:ind w:left="720" w:right="147" w:firstLine="0"/>
        <w:jc w:val="both"/>
      </w:pPr>
      <w:r>
        <w:t>Pověřenou osobou poskytovatele je xxxxxxxxxxxxxx</w:t>
      </w:r>
    </w:p>
    <w:p w14:paraId="338B4A62" w14:textId="44A9018B" w:rsidR="00541A1E" w:rsidRDefault="00E875F5">
      <w:pPr>
        <w:pStyle w:val="Odstavecseseznamem"/>
        <w:widowControl w:val="0"/>
        <w:numPr>
          <w:ilvl w:val="0"/>
          <w:numId w:val="9"/>
        </w:numPr>
        <w:ind w:left="720" w:right="147" w:firstLine="0"/>
        <w:jc w:val="both"/>
      </w:pPr>
      <w:r>
        <w:t>Pověřenou osobou objednatele je xxxxxxxxxxxxxxxxxxxx</w:t>
      </w:r>
    </w:p>
    <w:p w14:paraId="338B4A63" w14:textId="77777777" w:rsidR="00541A1E" w:rsidRDefault="00E875F5">
      <w:pPr>
        <w:pStyle w:val="Standard"/>
        <w:widowControl w:val="0"/>
        <w:numPr>
          <w:ilvl w:val="0"/>
          <w:numId w:val="4"/>
        </w:numPr>
        <w:ind w:left="0" w:right="147" w:firstLine="0"/>
        <w:jc w:val="both"/>
      </w:pPr>
      <w:r>
        <w:rPr>
          <w:rFonts w:cs="Calibri"/>
        </w:rPr>
        <w:t>Poskytovatel je povinen poskytovat servisní práce s odbornou péčí, dodržovat veškerá bezpečnostní opatření s vědomím, že závlahy se nacházejí v areálu NKPV, který je 24 hod přístupný veřejnosti.</w:t>
      </w:r>
    </w:p>
    <w:p w14:paraId="338B4A64" w14:textId="77777777" w:rsidR="00541A1E" w:rsidRDefault="00E875F5">
      <w:pPr>
        <w:pStyle w:val="Standard"/>
        <w:widowControl w:val="0"/>
        <w:numPr>
          <w:ilvl w:val="0"/>
          <w:numId w:val="4"/>
        </w:numPr>
        <w:ind w:left="0" w:right="147" w:firstLine="0"/>
        <w:jc w:val="both"/>
      </w:pPr>
      <w:r>
        <w:rPr>
          <w:rFonts w:cs="Calibri"/>
        </w:rPr>
        <w:t>Poskytovatel je povinen mít uzavřen</w:t>
      </w:r>
      <w:r>
        <w:rPr>
          <w:rFonts w:cs="Calibri"/>
        </w:rPr>
        <w:t>é pojištění odpovědnosti za případně způsobené škody.</w:t>
      </w:r>
    </w:p>
    <w:p w14:paraId="338B4A65" w14:textId="77777777" w:rsidR="00541A1E" w:rsidRDefault="00E875F5">
      <w:pPr>
        <w:pStyle w:val="Standard"/>
        <w:widowControl w:val="0"/>
        <w:numPr>
          <w:ilvl w:val="0"/>
          <w:numId w:val="4"/>
        </w:numPr>
        <w:ind w:left="0" w:right="147" w:firstLine="0"/>
        <w:jc w:val="both"/>
      </w:pPr>
      <w:r>
        <w:rPr>
          <w:rFonts w:cs="Calibri"/>
        </w:rPr>
        <w:lastRenderedPageBreak/>
        <w:t>Poskytovatel prohlašuje, že je podle právních předpisů oprávněn k poskytování výše uvedených servisních prací a služeb oprav a má dostatečné materiální a personální zázemí pro tyto činnosti.</w:t>
      </w:r>
    </w:p>
    <w:p w14:paraId="338B4A66" w14:textId="77777777" w:rsidR="00541A1E" w:rsidRDefault="00E875F5">
      <w:pPr>
        <w:pStyle w:val="Standard"/>
        <w:widowControl w:val="0"/>
        <w:numPr>
          <w:ilvl w:val="0"/>
          <w:numId w:val="4"/>
        </w:numPr>
        <w:ind w:left="0" w:right="147" w:firstLine="0"/>
        <w:jc w:val="both"/>
      </w:pPr>
      <w:r>
        <w:rPr>
          <w:rFonts w:cs="Calibri"/>
        </w:rPr>
        <w:t>Poskytovate</w:t>
      </w:r>
      <w:r>
        <w:rPr>
          <w:rFonts w:cs="Calibri"/>
        </w:rPr>
        <w:t>l prohlašuje, že je s poukazem na ustanovení § 5 občanského zákoníku odborníkem s potřebnými znalostmi a zkušenostmi pro poskytnutí služeb podle této smlouvy.</w:t>
      </w:r>
    </w:p>
    <w:p w14:paraId="338B4A67" w14:textId="77777777" w:rsidR="00541A1E" w:rsidRDefault="00541A1E">
      <w:pPr>
        <w:pStyle w:val="Standard"/>
        <w:widowControl w:val="0"/>
        <w:ind w:right="147"/>
      </w:pPr>
    </w:p>
    <w:p w14:paraId="338B4A68" w14:textId="77777777" w:rsidR="00541A1E" w:rsidRDefault="00541A1E">
      <w:pPr>
        <w:pStyle w:val="Standard"/>
        <w:widowControl w:val="0"/>
        <w:ind w:right="147"/>
      </w:pPr>
    </w:p>
    <w:p w14:paraId="338B4A69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Článek III.</w:t>
      </w:r>
    </w:p>
    <w:p w14:paraId="338B4A6A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Objednatel se zavazuje</w:t>
      </w:r>
    </w:p>
    <w:p w14:paraId="338B4A6B" w14:textId="77777777" w:rsidR="00541A1E" w:rsidRDefault="00541A1E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338B4A6C" w14:textId="77777777" w:rsidR="00541A1E" w:rsidRDefault="00E875F5">
      <w:pPr>
        <w:pStyle w:val="Standard"/>
        <w:widowControl w:val="0"/>
        <w:numPr>
          <w:ilvl w:val="0"/>
          <w:numId w:val="13"/>
        </w:numPr>
        <w:ind w:left="0" w:right="147" w:firstLine="0"/>
        <w:jc w:val="both"/>
      </w:pPr>
      <w:r>
        <w:t xml:space="preserve">Zpřístupnit výše uvedený objekt v předem </w:t>
      </w:r>
      <w:r>
        <w:t>domluveném termínu.</w:t>
      </w:r>
    </w:p>
    <w:p w14:paraId="338B4A6D" w14:textId="77777777" w:rsidR="00541A1E" w:rsidRDefault="00E875F5">
      <w:pPr>
        <w:pStyle w:val="Standard"/>
        <w:widowControl w:val="0"/>
        <w:numPr>
          <w:ilvl w:val="0"/>
          <w:numId w:val="5"/>
        </w:numPr>
        <w:ind w:left="0" w:right="147" w:firstLine="0"/>
        <w:jc w:val="both"/>
      </w:pPr>
      <w:r>
        <w:t>Nezasahovat do provozu závlah bez vědomí Poskytovatele.</w:t>
      </w:r>
    </w:p>
    <w:p w14:paraId="338B4A6E" w14:textId="77777777" w:rsidR="00541A1E" w:rsidRDefault="00E875F5">
      <w:pPr>
        <w:pStyle w:val="Standard"/>
        <w:widowControl w:val="0"/>
        <w:numPr>
          <w:ilvl w:val="0"/>
          <w:numId w:val="5"/>
        </w:numPr>
        <w:ind w:left="0" w:right="147" w:firstLine="0"/>
        <w:jc w:val="both"/>
      </w:pPr>
      <w:r>
        <w:rPr>
          <w:rFonts w:cs="Calibri"/>
        </w:rPr>
        <w:t>Je-li k poskytnutí služeb nutná součinnost klienta, určí mu poskytovatel přiměřenou lhůtu k jejímu poskytnutí. Uplyne-li lhůta pro poskytnutí součinnosti marně a je-li to možné, má</w:t>
      </w:r>
      <w:r>
        <w:rPr>
          <w:rFonts w:cs="Calibri"/>
        </w:rPr>
        <w:t xml:space="preserve"> poskytovatel právo si zajistit náhradní plnění na náklady klienta.</w:t>
      </w:r>
    </w:p>
    <w:p w14:paraId="338B4A6F" w14:textId="77777777" w:rsidR="00541A1E" w:rsidRDefault="00541A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38B4A70" w14:textId="77777777" w:rsidR="00541A1E" w:rsidRDefault="00541A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38B4A71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Článek IV.</w:t>
      </w:r>
    </w:p>
    <w:p w14:paraId="338B4A72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Odměna poskytovatele</w:t>
      </w:r>
    </w:p>
    <w:p w14:paraId="338B4A73" w14:textId="77777777" w:rsidR="00541A1E" w:rsidRDefault="00541A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38B4A74" w14:textId="77777777" w:rsidR="00541A1E" w:rsidRDefault="00E875F5">
      <w:pPr>
        <w:pStyle w:val="Standard"/>
        <w:widowControl w:val="0"/>
        <w:numPr>
          <w:ilvl w:val="0"/>
          <w:numId w:val="5"/>
        </w:numPr>
        <w:ind w:left="0" w:right="147" w:firstLine="0"/>
        <w:jc w:val="both"/>
      </w:pPr>
      <w:r>
        <w:t>Zprovoznění závlah …………………………….13 720 Kč.</w:t>
      </w:r>
    </w:p>
    <w:p w14:paraId="338B4A75" w14:textId="77777777" w:rsidR="00541A1E" w:rsidRDefault="00E875F5">
      <w:pPr>
        <w:pStyle w:val="Standard"/>
        <w:widowControl w:val="0"/>
        <w:numPr>
          <w:ilvl w:val="0"/>
          <w:numId w:val="5"/>
        </w:numPr>
        <w:ind w:left="0" w:right="147" w:firstLine="0"/>
        <w:jc w:val="both"/>
      </w:pPr>
      <w:r>
        <w:t>Odvodnění závlah ………………………………16 500 Kč.</w:t>
      </w:r>
    </w:p>
    <w:p w14:paraId="338B4A76" w14:textId="77777777" w:rsidR="00541A1E" w:rsidRDefault="00E875F5">
      <w:pPr>
        <w:pStyle w:val="Standard"/>
        <w:widowControl w:val="0"/>
        <w:numPr>
          <w:ilvl w:val="0"/>
          <w:numId w:val="5"/>
        </w:numPr>
        <w:ind w:left="0" w:right="147" w:firstLine="0"/>
        <w:jc w:val="both"/>
      </w:pPr>
      <w:r>
        <w:t>Dopravné 1 cesta (tam a zpět, zpět a tam) ………1 200 Kč.</w:t>
      </w:r>
    </w:p>
    <w:p w14:paraId="338B4A77" w14:textId="77777777" w:rsidR="00541A1E" w:rsidRDefault="00E875F5">
      <w:pPr>
        <w:pStyle w:val="Standard"/>
        <w:widowControl w:val="0"/>
        <w:numPr>
          <w:ilvl w:val="0"/>
          <w:numId w:val="5"/>
        </w:numPr>
        <w:ind w:left="0" w:right="147" w:firstLine="0"/>
        <w:jc w:val="both"/>
      </w:pPr>
      <w:r>
        <w:t>Hodinová sazba p</w:t>
      </w:r>
      <w:r>
        <w:t>ráce ……………………………  490 Kč.</w:t>
      </w:r>
    </w:p>
    <w:p w14:paraId="338B4A78" w14:textId="77777777" w:rsidR="00541A1E" w:rsidRDefault="00E875F5">
      <w:pPr>
        <w:pStyle w:val="Standard"/>
        <w:widowControl w:val="0"/>
        <w:numPr>
          <w:ilvl w:val="0"/>
          <w:numId w:val="6"/>
        </w:numPr>
        <w:ind w:left="0" w:right="147" w:firstLine="0"/>
        <w:jc w:val="both"/>
      </w:pPr>
      <w:r>
        <w:rPr>
          <w:rFonts w:cs="Calibri"/>
        </w:rPr>
        <w:t>Sazby jsou stanoveny bez DPH. DPH je stanoveno ve výši zákonné sazby.</w:t>
      </w:r>
    </w:p>
    <w:p w14:paraId="338B4A79" w14:textId="77777777" w:rsidR="00541A1E" w:rsidRDefault="00E875F5">
      <w:pPr>
        <w:pStyle w:val="Standard"/>
        <w:widowControl w:val="0"/>
        <w:numPr>
          <w:ilvl w:val="0"/>
          <w:numId w:val="6"/>
        </w:numPr>
        <w:ind w:left="0" w:right="147" w:firstLine="0"/>
        <w:jc w:val="both"/>
      </w:pPr>
      <w:r>
        <w:rPr>
          <w:rFonts w:cs="Calibri"/>
        </w:rPr>
        <w:t>Objednatel se zavazuje uhradit odměnu Poskytovateli na základě faktury, která má veškeré náležitosti daňového dokladu, se splatností 14 dnů ode dne vystavení.</w:t>
      </w:r>
    </w:p>
    <w:p w14:paraId="338B4A7A" w14:textId="77777777" w:rsidR="00541A1E" w:rsidRDefault="00E875F5">
      <w:pPr>
        <w:pStyle w:val="Standard"/>
        <w:widowControl w:val="0"/>
        <w:numPr>
          <w:ilvl w:val="0"/>
          <w:numId w:val="6"/>
        </w:numPr>
        <w:ind w:left="0" w:right="147" w:firstLine="0"/>
        <w:jc w:val="both"/>
      </w:pPr>
      <w:r>
        <w:rPr>
          <w:rFonts w:cs="Calibri"/>
        </w:rPr>
        <w:t>C</w:t>
      </w:r>
      <w:r>
        <w:rPr>
          <w:rFonts w:cs="Calibri"/>
        </w:rPr>
        <w:t xml:space="preserve">elková odměna za 1 zásah (zprovoznění a odvodnění závlah) nepřesáhne částku </w:t>
      </w:r>
      <w:r>
        <w:rPr>
          <w:rFonts w:cs="Calibri"/>
          <w:b/>
          <w:bCs/>
        </w:rPr>
        <w:t xml:space="preserve">50 000 Kč bez DPH </w:t>
      </w:r>
      <w:r>
        <w:rPr>
          <w:rFonts w:cs="Calibri"/>
        </w:rPr>
        <w:t xml:space="preserve">(slovy: padesát tisíc korun českých) včetně materiálu, pokud ano, je nutné takový zásah nebo opravu předem nacenit a Objednatel odsouhlasit.  </w:t>
      </w:r>
    </w:p>
    <w:p w14:paraId="338B4A7B" w14:textId="77777777" w:rsidR="00541A1E" w:rsidRDefault="00E875F5">
      <w:pPr>
        <w:pStyle w:val="Standard"/>
        <w:widowControl w:val="0"/>
        <w:numPr>
          <w:ilvl w:val="0"/>
          <w:numId w:val="6"/>
        </w:numPr>
        <w:ind w:left="0" w:right="147" w:firstLine="0"/>
        <w:jc w:val="both"/>
      </w:pPr>
      <w:r>
        <w:rPr>
          <w:rFonts w:cs="Calibri"/>
        </w:rPr>
        <w:t xml:space="preserve">Klient se zavazuje </w:t>
      </w:r>
      <w:r>
        <w:rPr>
          <w:rFonts w:cs="Calibri"/>
        </w:rPr>
        <w:t>odměnu zaplatit na základě poskytovatelem vystaveného daňového dokladu (faktury) se splatností 14 dnů ode dne následujícího po jeho doručení klientovi. Odměna bude klientem zaplacena bezhotovostně na účet poskytovatele uvedený v záhlaví této smlouvy.</w:t>
      </w:r>
    </w:p>
    <w:p w14:paraId="338B4A7C" w14:textId="77777777" w:rsidR="00541A1E" w:rsidRDefault="00E875F5">
      <w:pPr>
        <w:pStyle w:val="Standard"/>
        <w:widowControl w:val="0"/>
        <w:numPr>
          <w:ilvl w:val="0"/>
          <w:numId w:val="6"/>
        </w:numPr>
        <w:ind w:left="0" w:right="147" w:firstLine="0"/>
        <w:jc w:val="both"/>
      </w:pPr>
      <w:r>
        <w:rPr>
          <w:rFonts w:cs="Calibri"/>
        </w:rPr>
        <w:t>Faktu</w:t>
      </w:r>
      <w:r>
        <w:rPr>
          <w:rFonts w:cs="Calibri"/>
        </w:rPr>
        <w:t xml:space="preserve">ra bude zaslána elektronicky na adresu: </w:t>
      </w:r>
      <w:hyperlink r:id="rId7" w:history="1">
        <w:r>
          <w:rPr>
            <w:rFonts w:cs="Calibri"/>
          </w:rPr>
          <w:t>ekonom@praha-vysehrad.cz</w:t>
        </w:r>
      </w:hyperlink>
      <w:r>
        <w:rPr>
          <w:rFonts w:cs="Calibri"/>
        </w:rPr>
        <w:t xml:space="preserve"> nebo do datové schránky č. h528pgw včetně všech příloh. </w:t>
      </w:r>
    </w:p>
    <w:p w14:paraId="338B4A7D" w14:textId="77777777" w:rsidR="00541A1E" w:rsidRDefault="00E875F5">
      <w:pPr>
        <w:pStyle w:val="Standard"/>
        <w:widowControl w:val="0"/>
        <w:numPr>
          <w:ilvl w:val="0"/>
          <w:numId w:val="6"/>
        </w:numPr>
        <w:ind w:left="0" w:right="147" w:firstLine="0"/>
        <w:jc w:val="both"/>
      </w:pPr>
      <w:r>
        <w:rPr>
          <w:rFonts w:cs="Calibri"/>
        </w:rPr>
        <w:t xml:space="preserve">Počínaje kalendářním rokem 2024 má Pronajímatel právo každoročně zvýšit svou </w:t>
      </w:r>
      <w:r>
        <w:rPr>
          <w:rFonts w:cs="Calibri"/>
        </w:rPr>
        <w:t>odměnu o částku odpovídající roční míře inflace vyjádřené přírůstkem průměrného ročního indexu spotřebitelských cen za uplynulý kalendářní rok vyhlášené Českým statistickým úřadem (dále jen „Index“).  Toto ustanovení se vztahuje i na celkové odměnu za 1 zá</w:t>
      </w:r>
      <w:r>
        <w:rPr>
          <w:rFonts w:cs="Calibri"/>
        </w:rPr>
        <w:t>sah.</w:t>
      </w:r>
    </w:p>
    <w:p w14:paraId="338B4A7E" w14:textId="77777777" w:rsidR="00541A1E" w:rsidRDefault="00541A1E">
      <w:pPr>
        <w:pStyle w:val="Standard"/>
        <w:widowControl w:val="0"/>
        <w:ind w:right="147"/>
        <w:rPr>
          <w:rFonts w:cs="Calibri"/>
        </w:rPr>
      </w:pPr>
    </w:p>
    <w:p w14:paraId="338B4A7F" w14:textId="77777777" w:rsidR="00541A1E" w:rsidRDefault="00541A1E">
      <w:pPr>
        <w:pStyle w:val="Standard"/>
        <w:widowControl w:val="0"/>
        <w:ind w:right="147"/>
        <w:rPr>
          <w:rFonts w:cs="Calibri"/>
        </w:rPr>
      </w:pPr>
    </w:p>
    <w:p w14:paraId="338B4A80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Článek V.</w:t>
      </w:r>
    </w:p>
    <w:p w14:paraId="338B4A81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Trvání a ukončení smlouvy</w:t>
      </w:r>
    </w:p>
    <w:p w14:paraId="338B4A82" w14:textId="77777777" w:rsidR="00541A1E" w:rsidRDefault="00541A1E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</w:p>
    <w:p w14:paraId="338B4A83" w14:textId="77777777" w:rsidR="00541A1E" w:rsidRDefault="00E875F5">
      <w:pPr>
        <w:pStyle w:val="Odstavecseseznamem"/>
        <w:numPr>
          <w:ilvl w:val="0"/>
          <w:numId w:val="14"/>
        </w:numPr>
        <w:spacing w:after="120"/>
        <w:jc w:val="both"/>
      </w:pPr>
      <w:r>
        <w:t>Tato smlouva se uzavírá na dobu neurčitou.</w:t>
      </w:r>
    </w:p>
    <w:p w14:paraId="338B4A84" w14:textId="77777777" w:rsidR="00541A1E" w:rsidRDefault="00E875F5">
      <w:pPr>
        <w:pStyle w:val="Odstavecseseznamem"/>
        <w:numPr>
          <w:ilvl w:val="0"/>
          <w:numId w:val="7"/>
        </w:numPr>
        <w:spacing w:after="120"/>
        <w:jc w:val="both"/>
      </w:pPr>
      <w:r>
        <w:t xml:space="preserve">Tato smlouva může být ukončena dohodou stran nebo písemnou výpovědí jedné ze stran, a to i bez uvedení důvodu. Výpovědní doba činí dva měsíc a počne běžet od </w:t>
      </w:r>
      <w:r>
        <w:t>prvního dne následujícího po doručení výpovědi druhé smluvní straně.</w:t>
      </w:r>
    </w:p>
    <w:p w14:paraId="338B4A85" w14:textId="77777777" w:rsidR="00541A1E" w:rsidRDefault="00E875F5">
      <w:pPr>
        <w:pStyle w:val="Odstavecseseznamem"/>
        <w:numPr>
          <w:ilvl w:val="0"/>
          <w:numId w:val="7"/>
        </w:numPr>
        <w:spacing w:after="120"/>
        <w:jc w:val="both"/>
      </w:pPr>
      <w:r>
        <w:rPr>
          <w:rFonts w:cs="Calibri"/>
        </w:rPr>
        <w:t>Po dobu prvních třiceti dnů účinnosti této smlouvy je každá ze smluvních stran oprávněna vypovědět smlouvu bez výpovědní lhůty s okamžitou účinností po doručení výpovědi druhé smluvní str</w:t>
      </w:r>
      <w:r>
        <w:rPr>
          <w:rFonts w:cs="Calibri"/>
        </w:rPr>
        <w:t xml:space="preserve">aně, přičemž v tomto případě zaniká smlouva účinností výpovědi.   </w:t>
      </w:r>
    </w:p>
    <w:p w14:paraId="338B4A86" w14:textId="77777777" w:rsidR="00541A1E" w:rsidRDefault="00541A1E">
      <w:pPr>
        <w:pStyle w:val="Standard"/>
        <w:widowControl w:val="0"/>
        <w:ind w:right="147"/>
        <w:jc w:val="both"/>
        <w:rPr>
          <w:rFonts w:cs="Calibri"/>
        </w:rPr>
      </w:pPr>
    </w:p>
    <w:p w14:paraId="338B4A87" w14:textId="77777777" w:rsidR="00541A1E" w:rsidRDefault="00541A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38B4A88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338B4A89" w14:textId="77777777" w:rsidR="00541A1E" w:rsidRDefault="00E875F5">
      <w:pPr>
        <w:pStyle w:val="Bezmezer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Další ujednání</w:t>
      </w:r>
    </w:p>
    <w:p w14:paraId="338B4A8A" w14:textId="77777777" w:rsidR="00541A1E" w:rsidRDefault="00541A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38B4A8B" w14:textId="77777777" w:rsidR="00541A1E" w:rsidRDefault="00E875F5">
      <w:pPr>
        <w:pStyle w:val="Standard"/>
        <w:widowControl w:val="0"/>
        <w:numPr>
          <w:ilvl w:val="0"/>
          <w:numId w:val="15"/>
        </w:numPr>
        <w:ind w:left="0" w:right="147" w:firstLine="0"/>
        <w:jc w:val="both"/>
      </w:pPr>
      <w:r>
        <w:rPr>
          <w:rFonts w:cs="Calibri"/>
        </w:rPr>
        <w:t>Způsobí-li poskytovatel při poskytování služeb klientovi újmu, odpovídá klientovi za tuto újmu v souladu s obecně závaznými předpisy. Způsobí-li poskytovatel př</w:t>
      </w:r>
      <w:r>
        <w:rPr>
          <w:rFonts w:cs="Calibri"/>
        </w:rPr>
        <w:t>i poskytování služeb újmu třetím osobám, odpovídá třetím osobám za tuto újmu a je povinen ji třetím osobám nebo klientovi uhradit.</w:t>
      </w:r>
    </w:p>
    <w:p w14:paraId="338B4A8C" w14:textId="77777777" w:rsidR="00541A1E" w:rsidRDefault="00E875F5">
      <w:pPr>
        <w:pStyle w:val="Bezmezer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0"/>
          <w:szCs w:val="20"/>
        </w:rPr>
        <w:lastRenderedPageBreak/>
        <w:t>Smluvní strany jsou povinny oznamovat si všechny okolnosti a informace, které jsou důležité pro realizaci práv a povinností d</w:t>
      </w:r>
      <w:r>
        <w:rPr>
          <w:rFonts w:ascii="Times New Roman" w:hAnsi="Times New Roman" w:cs="Times New Roman"/>
          <w:sz w:val="20"/>
          <w:szCs w:val="20"/>
        </w:rPr>
        <w:t>le této smlouvy. Smluvní strany se zavazují, že při plnění této smlouvy budou postupovat tak, aby nepoškodily dobré jméno druhé smluvní strany.</w:t>
      </w:r>
    </w:p>
    <w:p w14:paraId="338B4A8D" w14:textId="77777777" w:rsidR="00541A1E" w:rsidRDefault="00541A1E">
      <w:pPr>
        <w:pStyle w:val="Bezmezer"/>
        <w:ind w:left="360"/>
        <w:rPr>
          <w:rFonts w:ascii="Times New Roman" w:hAnsi="Times New Roman" w:cs="Times New Roman"/>
          <w:sz w:val="20"/>
          <w:szCs w:val="20"/>
        </w:rPr>
      </w:pPr>
    </w:p>
    <w:p w14:paraId="338B4A8E" w14:textId="77777777" w:rsidR="00541A1E" w:rsidRDefault="00E875F5">
      <w:pPr>
        <w:pStyle w:val="Bezmezer"/>
        <w:ind w:left="360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Článek VI.</w:t>
      </w:r>
    </w:p>
    <w:p w14:paraId="338B4A8F" w14:textId="77777777" w:rsidR="00541A1E" w:rsidRDefault="00E875F5">
      <w:pPr>
        <w:pStyle w:val="Bezmezer"/>
        <w:ind w:left="360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Závěrečná ustanovení</w:t>
      </w:r>
    </w:p>
    <w:p w14:paraId="338B4A90" w14:textId="77777777" w:rsidR="00541A1E" w:rsidRDefault="00541A1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38B4A91" w14:textId="77777777" w:rsidR="00541A1E" w:rsidRDefault="00E875F5">
      <w:pPr>
        <w:pStyle w:val="Odstavecseseznamem"/>
        <w:widowControl w:val="0"/>
        <w:numPr>
          <w:ilvl w:val="0"/>
          <w:numId w:val="16"/>
        </w:numPr>
        <w:ind w:left="720" w:right="147" w:firstLine="0"/>
        <w:jc w:val="both"/>
      </w:pPr>
      <w:r>
        <w:rPr>
          <w:rFonts w:eastAsia="MS Mincho"/>
        </w:rPr>
        <w:t xml:space="preserve">Tato smlouva, jakož i práva a povinnosti vzniklé na základě této </w:t>
      </w:r>
      <w:r>
        <w:rPr>
          <w:rFonts w:eastAsia="MS Mincho"/>
        </w:rPr>
        <w:t>smlouvy nebo v souvislosti s ní, se řídí občanským zákoníkem a ostatními právními předpisy České republiky.</w:t>
      </w:r>
    </w:p>
    <w:p w14:paraId="338B4A92" w14:textId="77777777" w:rsidR="00541A1E" w:rsidRDefault="00E875F5">
      <w:pPr>
        <w:pStyle w:val="Odstavecseseznamem"/>
        <w:widowControl w:val="0"/>
        <w:numPr>
          <w:ilvl w:val="0"/>
          <w:numId w:val="3"/>
        </w:numPr>
        <w:ind w:left="720" w:right="147" w:firstLine="0"/>
        <w:jc w:val="both"/>
      </w:pPr>
      <w:r>
        <w:t>V případě, že by se stalo některé ustanovení smlouvy neplatným, zůstávají ostatní ustanovení i nadále v platnosti, ledaže právní předpis stanoví jin</w:t>
      </w:r>
      <w:r>
        <w:t>ak. Smluvní strany se zavazují takové neplatné, neúčinné a nevykonatelné ustanovení nahradit tak, aby účelu smlouvy bylo dosaženo.</w:t>
      </w:r>
    </w:p>
    <w:p w14:paraId="338B4A93" w14:textId="77777777" w:rsidR="00541A1E" w:rsidRDefault="00E875F5">
      <w:pPr>
        <w:pStyle w:val="Odstavecseseznamem"/>
        <w:widowControl w:val="0"/>
        <w:numPr>
          <w:ilvl w:val="0"/>
          <w:numId w:val="3"/>
        </w:numPr>
        <w:ind w:left="720" w:right="147" w:firstLine="0"/>
        <w:jc w:val="both"/>
      </w:pPr>
      <w:r>
        <w:t>Práva a povinnosti smluvních stran z této smlouvy přecházejí na jejich právní nástupce.</w:t>
      </w:r>
    </w:p>
    <w:p w14:paraId="338B4A94" w14:textId="77777777" w:rsidR="00541A1E" w:rsidRDefault="00E875F5">
      <w:pPr>
        <w:pStyle w:val="Odstavecseseznamem"/>
        <w:widowControl w:val="0"/>
        <w:numPr>
          <w:ilvl w:val="0"/>
          <w:numId w:val="3"/>
        </w:numPr>
        <w:ind w:left="720" w:right="147" w:firstLine="0"/>
        <w:jc w:val="both"/>
      </w:pPr>
      <w:r>
        <w:t>Tato smlouva je vyhotovena ve dvou st</w:t>
      </w:r>
      <w:r>
        <w:t>ejnopisech s platností originálu, z nichž každá ze smluvních stran obdrží jeden. Tuto smlouvu lze měnit, doplňovat nebo rušit pouze písemně, a to číslovanými dodatky, podepsanými oběma smluvními stranami.</w:t>
      </w:r>
      <w:bookmarkStart w:id="1" w:name="_Hlk56364188"/>
      <w:bookmarkEnd w:id="1"/>
    </w:p>
    <w:p w14:paraId="338B4A95" w14:textId="77777777" w:rsidR="00541A1E" w:rsidRDefault="00E875F5">
      <w:pPr>
        <w:pStyle w:val="Odstavecseseznamem"/>
        <w:widowControl w:val="0"/>
        <w:numPr>
          <w:ilvl w:val="0"/>
          <w:numId w:val="3"/>
        </w:numPr>
        <w:ind w:left="720" w:right="147" w:firstLine="0"/>
        <w:jc w:val="both"/>
      </w:pPr>
      <w:r>
        <w:t>Smluvní strany se dohodly, že žádná z nich není opr</w:t>
      </w:r>
      <w:r>
        <w:t>ávněna postoupit svá práva a povinnosti, vyplývající z této smlouvy, bez předchozího písemného souhlasu druhé smluvní strany. K přechodu práv a povinností na právní nástupce stran se souhlas nevyžaduje.</w:t>
      </w:r>
    </w:p>
    <w:p w14:paraId="338B4A96" w14:textId="77777777" w:rsidR="00541A1E" w:rsidRDefault="00E875F5">
      <w:pPr>
        <w:pStyle w:val="Odstavecseseznamem"/>
        <w:widowControl w:val="0"/>
        <w:numPr>
          <w:ilvl w:val="0"/>
          <w:numId w:val="3"/>
        </w:numPr>
        <w:ind w:left="720" w:right="147" w:firstLine="0"/>
        <w:jc w:val="both"/>
      </w:pPr>
      <w:r>
        <w:t>Smluvní strany se zavazují, že všechny informace, kte</w:t>
      </w:r>
      <w:r>
        <w:t>ré jim byly svěřeny druhou smluvní stranou, nezpřístupní třetím osobám pro jiné účely než pro plnění závazků stanovených touto smlouvou.</w:t>
      </w:r>
    </w:p>
    <w:p w14:paraId="338B4A97" w14:textId="77777777" w:rsidR="00541A1E" w:rsidRDefault="00E875F5">
      <w:pPr>
        <w:pStyle w:val="Odstavecseseznamem"/>
        <w:widowControl w:val="0"/>
        <w:numPr>
          <w:ilvl w:val="0"/>
          <w:numId w:val="3"/>
        </w:numPr>
        <w:ind w:left="720" w:right="147" w:firstLine="0"/>
        <w:jc w:val="both"/>
      </w:pPr>
      <w:r>
        <w:t>Smluvní strany výslovně souhlasí s uveřejněním této smlouvy v registru smluv dle zákona č. 340/2015 Sb., o zvláštních p</w:t>
      </w:r>
      <w:r>
        <w:t>odmínkách účinnosti některých smluv, uveřejňování těchto smluv a o registru smluv (zákon o registru smluv). Osobní údaje (telefonní čísla, čísla účtů) budou znečitelněny. Smluvní strany dále prohlašují, že skutečnosti uvedené v této smlouvě nepovažují za o</w:t>
      </w:r>
      <w:r>
        <w:t>bchodní tajemství ve smyslu ustanovení § 504 občanského zákoníku a udělují svolení k jejich užití a zveřejnění bez stanovení jakýchkoliv dalších podmínek.</w:t>
      </w:r>
    </w:p>
    <w:p w14:paraId="338B4A98" w14:textId="77777777" w:rsidR="00541A1E" w:rsidRDefault="00E875F5">
      <w:pPr>
        <w:pStyle w:val="Odstavecseseznamem"/>
        <w:widowControl w:val="0"/>
        <w:numPr>
          <w:ilvl w:val="0"/>
          <w:numId w:val="3"/>
        </w:numPr>
        <w:ind w:left="720" w:right="147" w:firstLine="0"/>
        <w:jc w:val="both"/>
      </w:pPr>
      <w:r>
        <w:t>Smluvní strany podpisem této smlouvy souhlasí s poskytnutím informací o smlouvě v rozsahu zákona č. 1</w:t>
      </w:r>
      <w:r>
        <w:t>06/1999 Sb., o svobodném přístupu k informacím, ve znění pozdějších předpisů.</w:t>
      </w:r>
    </w:p>
    <w:p w14:paraId="338B4A99" w14:textId="77777777" w:rsidR="00541A1E" w:rsidRDefault="00E875F5">
      <w:pPr>
        <w:pStyle w:val="Odstavecseseznamem"/>
        <w:widowControl w:val="0"/>
        <w:numPr>
          <w:ilvl w:val="0"/>
          <w:numId w:val="3"/>
        </w:numPr>
        <w:ind w:left="720" w:right="147" w:firstLine="0"/>
        <w:jc w:val="both"/>
      </w:pPr>
      <w:r>
        <w:t>Smluvní strany tímto prohlašují, že neexistuje žádné ústní ujednání, žádná smlouva či řízení týkající se některé smluvní strany, které by nepříznivě ovlivnilo splnění závazků vyp</w:t>
      </w:r>
      <w:r>
        <w:t>lývajících z této smlouvy. Zároveň svým podpisem potvrzují, že veškerá prohlášení a dokumenty podle této smlouvy jsou pravdivá, úplná, přesná, platná a právně vynutitelná.</w:t>
      </w:r>
    </w:p>
    <w:p w14:paraId="338B4A9A" w14:textId="77777777" w:rsidR="00541A1E" w:rsidRDefault="00E875F5">
      <w:pPr>
        <w:pStyle w:val="Odstavecseseznamem"/>
        <w:widowControl w:val="0"/>
        <w:numPr>
          <w:ilvl w:val="0"/>
          <w:numId w:val="3"/>
        </w:numPr>
        <w:ind w:left="720" w:right="147" w:firstLine="0"/>
        <w:jc w:val="both"/>
      </w:pPr>
      <w:r>
        <w:t>Smluvní strany dále prohlašují, že si smlouvu pečlivě přečetly, všem ustanovením sml</w:t>
      </w:r>
      <w:r>
        <w:t>ouvy rozumí, že nebyla uzavřena v tísni ani za jinak jednostranně nevýhodných podmínek. Na důkaz svého souhlasu učiněného vážně a svobodně smlouvu vlastnoručně podepisují.</w:t>
      </w:r>
    </w:p>
    <w:p w14:paraId="338B4A9B" w14:textId="77777777" w:rsidR="00541A1E" w:rsidRDefault="00541A1E">
      <w:pPr>
        <w:pStyle w:val="Standard"/>
        <w:widowControl w:val="0"/>
        <w:jc w:val="both"/>
      </w:pPr>
    </w:p>
    <w:p w14:paraId="338B4A9C" w14:textId="77777777" w:rsidR="00541A1E" w:rsidRDefault="00541A1E">
      <w:pPr>
        <w:pStyle w:val="Standard"/>
        <w:widowControl w:val="0"/>
        <w:ind w:right="147"/>
        <w:jc w:val="both"/>
      </w:pPr>
    </w:p>
    <w:p w14:paraId="338B4A9D" w14:textId="77777777" w:rsidR="00541A1E" w:rsidRDefault="00541A1E">
      <w:pPr>
        <w:pStyle w:val="Standard"/>
        <w:widowControl w:val="0"/>
        <w:ind w:right="147"/>
        <w:jc w:val="both"/>
      </w:pPr>
    </w:p>
    <w:p w14:paraId="338B4A9E" w14:textId="77777777" w:rsidR="00541A1E" w:rsidRDefault="00E875F5">
      <w:pPr>
        <w:pStyle w:val="Standard"/>
      </w:pPr>
      <w:r>
        <w:t>V Praze dne ………………</w:t>
      </w:r>
      <w:r>
        <w:tab/>
      </w:r>
      <w:r>
        <w:tab/>
      </w:r>
      <w:r>
        <w:tab/>
        <w:t>V Praze dne ………………</w:t>
      </w:r>
    </w:p>
    <w:p w14:paraId="338B4A9F" w14:textId="77777777" w:rsidR="00541A1E" w:rsidRDefault="00541A1E">
      <w:pPr>
        <w:pStyle w:val="Standard"/>
      </w:pPr>
    </w:p>
    <w:p w14:paraId="338B4AA0" w14:textId="77777777" w:rsidR="00541A1E" w:rsidRDefault="00541A1E">
      <w:pPr>
        <w:pStyle w:val="Standard"/>
      </w:pPr>
    </w:p>
    <w:p w14:paraId="338B4AA1" w14:textId="77777777" w:rsidR="00541A1E" w:rsidRDefault="00541A1E">
      <w:pPr>
        <w:pStyle w:val="Standard"/>
      </w:pPr>
    </w:p>
    <w:p w14:paraId="338B4AA2" w14:textId="77777777" w:rsidR="00541A1E" w:rsidRDefault="00541A1E">
      <w:pPr>
        <w:pStyle w:val="Standard"/>
      </w:pPr>
    </w:p>
    <w:p w14:paraId="338B4AA3" w14:textId="77777777" w:rsidR="00541A1E" w:rsidRDefault="00541A1E">
      <w:pPr>
        <w:pStyle w:val="Standard"/>
        <w:spacing w:line="360" w:lineRule="auto"/>
      </w:pPr>
    </w:p>
    <w:p w14:paraId="338B4AA4" w14:textId="77777777" w:rsidR="00541A1E" w:rsidRDefault="00E875F5">
      <w:pPr>
        <w:pStyle w:val="Standard"/>
        <w:spacing w:line="360" w:lineRule="auto"/>
      </w:pPr>
      <w:r>
        <w:t>…………………………………….</w:t>
      </w:r>
      <w:r>
        <w:tab/>
      </w:r>
      <w:r>
        <w:tab/>
        <w:t>…………………………………….</w:t>
      </w:r>
      <w:r>
        <w:tab/>
      </w:r>
    </w:p>
    <w:p w14:paraId="338B4AA5" w14:textId="77777777" w:rsidR="00541A1E" w:rsidRDefault="00E875F5">
      <w:pPr>
        <w:pStyle w:val="Standard"/>
        <w:ind w:firstLine="708"/>
      </w:pPr>
      <w:r>
        <w:t xml:space="preserve">  </w:t>
      </w:r>
      <w:r>
        <w:t xml:space="preserve">    poskytovatel                                                                     objednatel</w:t>
      </w:r>
    </w:p>
    <w:sectPr w:rsidR="00541A1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4A3B" w14:textId="77777777" w:rsidR="00000000" w:rsidRDefault="00E875F5">
      <w:r>
        <w:separator/>
      </w:r>
    </w:p>
  </w:endnote>
  <w:endnote w:type="continuationSeparator" w:id="0">
    <w:p w14:paraId="338B4A3D" w14:textId="77777777" w:rsidR="00000000" w:rsidRDefault="00E8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John Sans Heavy Pro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4A43" w14:textId="77777777" w:rsidR="00BA74A1" w:rsidRDefault="00E875F5">
    <w:pPr>
      <w:pStyle w:val="Zpat"/>
      <w:jc w:val="center"/>
    </w:pP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z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  <w:p w14:paraId="338B4A44" w14:textId="77777777" w:rsidR="00BA74A1" w:rsidRDefault="00E875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4A37" w14:textId="77777777" w:rsidR="00000000" w:rsidRDefault="00E875F5">
      <w:r>
        <w:rPr>
          <w:color w:val="000000"/>
        </w:rPr>
        <w:separator/>
      </w:r>
    </w:p>
  </w:footnote>
  <w:footnote w:type="continuationSeparator" w:id="0">
    <w:p w14:paraId="338B4A39" w14:textId="77777777" w:rsidR="00000000" w:rsidRDefault="00E8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B4A3F" w14:textId="77777777" w:rsidR="00BA74A1" w:rsidRDefault="00E875F5">
    <w:pPr>
      <w:pStyle w:val="Standardnte"/>
      <w:tabs>
        <w:tab w:val="left" w:pos="828"/>
      </w:tabs>
      <w:jc w:val="right"/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  <w:t xml:space="preserve">č. smlouvy NKPV: </w:t>
    </w:r>
    <w:r>
      <w:rPr>
        <w:b/>
        <w:bCs/>
        <w:szCs w:val="24"/>
      </w:rPr>
      <w:t>SP/340/2022</w:t>
    </w:r>
  </w:p>
  <w:p w14:paraId="338B4A40" w14:textId="77777777" w:rsidR="00BA74A1" w:rsidRDefault="00E875F5">
    <w:pPr>
      <w:pStyle w:val="Zhlav"/>
    </w:pPr>
  </w:p>
  <w:p w14:paraId="338B4A41" w14:textId="77777777" w:rsidR="00BA74A1" w:rsidRDefault="00E875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43C"/>
    <w:multiLevelType w:val="multilevel"/>
    <w:tmpl w:val="D6F27BC2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9F00E9"/>
    <w:multiLevelType w:val="multilevel"/>
    <w:tmpl w:val="3602593A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DBE0A3D"/>
    <w:multiLevelType w:val="multilevel"/>
    <w:tmpl w:val="D75459A6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D93CB1"/>
    <w:multiLevelType w:val="multilevel"/>
    <w:tmpl w:val="433CD726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F6440C"/>
    <w:multiLevelType w:val="multilevel"/>
    <w:tmpl w:val="89782E7C"/>
    <w:styleLink w:val="WWNum9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47A7177F"/>
    <w:multiLevelType w:val="multilevel"/>
    <w:tmpl w:val="1570D38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7B4174"/>
    <w:multiLevelType w:val="multilevel"/>
    <w:tmpl w:val="76C619E0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D5E36A3"/>
    <w:multiLevelType w:val="multilevel"/>
    <w:tmpl w:val="7D6AD14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FF4135"/>
    <w:multiLevelType w:val="multilevel"/>
    <w:tmpl w:val="991677F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0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4"/>
    <w:lvlOverride w:ilvl="0"/>
  </w:num>
  <w:num w:numId="13">
    <w:abstractNumId w:val="5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41A1E"/>
    <w:rsid w:val="00541A1E"/>
    <w:rsid w:val="00B50C52"/>
    <w:rsid w:val="00B71FB7"/>
    <w:rsid w:val="00E8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4A37"/>
  <w15:docId w15:val="{E730D813-F6D3-4750-A2D9-F39755C0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John Sans Heavy Pro" w:eastAsia="Microsoft YaHei" w:hAnsi="John Sans Heavy Pro" w:cs="Arial Unicode MS"/>
      <w:sz w:val="24"/>
      <w:szCs w:val="28"/>
    </w:rPr>
  </w:style>
  <w:style w:type="paragraph" w:customStyle="1" w:styleId="Textbody">
    <w:name w:val="Text body"/>
    <w:basedOn w:val="Standard"/>
    <w:pPr>
      <w:widowControl w:val="0"/>
      <w:ind w:right="-137"/>
    </w:pPr>
    <w:rPr>
      <w:sz w:val="24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 Unicode MS"/>
      <w:i/>
      <w:iCs/>
      <w:sz w:val="22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Bezmezer">
    <w:name w:val="No Spacing"/>
    <w:pPr>
      <w:widowControl/>
      <w:suppressAutoHyphens/>
    </w:pPr>
  </w:style>
  <w:style w:type="paragraph" w:styleId="Odstavecseseznamem">
    <w:name w:val="List Paragraph"/>
    <w:basedOn w:val="Standard"/>
    <w:pPr>
      <w:ind w:left="720"/>
    </w:pPr>
  </w:style>
  <w:style w:type="paragraph" w:customStyle="1" w:styleId="Zhlavazpat">
    <w:name w:val="Záhlaví a zápatí"/>
    <w:basedOn w:val="Standard"/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Normlnweb">
    <w:name w:val="Normal (Web)"/>
    <w:basedOn w:val="Standard"/>
    <w:pPr>
      <w:spacing w:before="28" w:after="28"/>
    </w:pPr>
    <w:rPr>
      <w:sz w:val="24"/>
      <w:szCs w:val="24"/>
      <w:lang w:eastAsia="cs-CZ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Standard"/>
  </w:style>
  <w:style w:type="paragraph" w:styleId="Pedmtkomente">
    <w:name w:val="annotation subject"/>
    <w:basedOn w:val="Textkomente"/>
    <w:rPr>
      <w:b/>
      <w:bCs/>
    </w:rPr>
  </w:style>
  <w:style w:type="paragraph" w:customStyle="1" w:styleId="Standardnte">
    <w:name w:val="Standardní te"/>
    <w:pPr>
      <w:widowControl/>
      <w:suppressAutoHyphens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ekonom@praha-vysehrad.cz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6" ma:contentTypeDescription="Vytvoří nový dokument" ma:contentTypeScope="" ma:versionID="e42a9ab0dd5b207ed257bf83d6bfe0ea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e5f495e9540889bb82bf47e4d6454dab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AF82BC-60C2-441C-AB17-5A0FF078B7B8}"/>
</file>

<file path=customXml/itemProps2.xml><?xml version="1.0" encoding="utf-8"?>
<ds:datastoreItem xmlns:ds="http://schemas.openxmlformats.org/officeDocument/2006/customXml" ds:itemID="{C15D72C2-C39D-4504-8B06-7946039C83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1269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Kučera</dc:creator>
  <cp:lastModifiedBy>Martynková Helena</cp:lastModifiedBy>
  <cp:revision>3</cp:revision>
  <cp:lastPrinted>2020-11-10T08:44:00Z</cp:lastPrinted>
  <dcterms:created xsi:type="dcterms:W3CDTF">2022-11-30T17:02:00Z</dcterms:created>
  <dcterms:modified xsi:type="dcterms:W3CDTF">2022-11-30T17:03:00Z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