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411" w:type="dxa"/>
        <w:tblInd w:w="-18" w:type="dxa"/>
        <w:tblCellMar>
          <w:top w:w="143" w:type="dxa"/>
          <w:left w:w="130" w:type="dxa"/>
          <w:bottom w:w="0" w:type="dxa"/>
          <w:right w:w="115" w:type="dxa"/>
        </w:tblCellMar>
        <w:tblLook w:val="04A0" w:firstRow="1" w:lastRow="0" w:firstColumn="1" w:lastColumn="0" w:noHBand="0" w:noVBand="1"/>
      </w:tblPr>
      <w:tblGrid>
        <w:gridCol w:w="4355"/>
        <w:gridCol w:w="251"/>
        <w:gridCol w:w="4805"/>
      </w:tblGrid>
      <w:tr w:rsidR="001D2DE3">
        <w:trPr>
          <w:trHeight w:val="2607"/>
        </w:trPr>
        <w:tc>
          <w:tcPr>
            <w:tcW w:w="4421" w:type="dxa"/>
            <w:tcBorders>
              <w:top w:val="single" w:sz="2" w:space="0" w:color="000000"/>
              <w:left w:val="single" w:sz="2" w:space="0" w:color="000000"/>
              <w:bottom w:val="single" w:sz="2" w:space="0" w:color="000000"/>
              <w:right w:val="single" w:sz="2" w:space="0" w:color="000000"/>
            </w:tcBorders>
          </w:tcPr>
          <w:p w:rsidR="001D2DE3" w:rsidRDefault="005A3D18">
            <w:pPr>
              <w:spacing w:after="231" w:line="259" w:lineRule="auto"/>
              <w:ind w:left="0" w:firstLine="0"/>
            </w:pPr>
            <w:r>
              <w:rPr>
                <w:b/>
                <w:sz w:val="20"/>
              </w:rPr>
              <w:t>ROBUR, s.r.o.</w:t>
            </w:r>
          </w:p>
          <w:p w:rsidR="001D2DE3" w:rsidRDefault="005A3D18">
            <w:pPr>
              <w:spacing w:after="0" w:line="259" w:lineRule="auto"/>
              <w:ind w:left="0" w:firstLine="0"/>
            </w:pPr>
            <w:proofErr w:type="spellStart"/>
            <w:r>
              <w:rPr>
                <w:sz w:val="16"/>
              </w:rPr>
              <w:t>Vintrovna</w:t>
            </w:r>
            <w:proofErr w:type="spellEnd"/>
            <w:r>
              <w:rPr>
                <w:sz w:val="16"/>
              </w:rPr>
              <w:t xml:space="preserve"> 439/</w:t>
            </w:r>
            <w:proofErr w:type="gramStart"/>
            <w:r>
              <w:rPr>
                <w:sz w:val="16"/>
              </w:rPr>
              <w:t>3g</w:t>
            </w:r>
            <w:proofErr w:type="gramEnd"/>
          </w:p>
          <w:p w:rsidR="001D2DE3" w:rsidRDefault="005A3D18">
            <w:pPr>
              <w:spacing w:after="0" w:line="259" w:lineRule="auto"/>
              <w:ind w:left="0" w:firstLine="0"/>
            </w:pPr>
            <w:r>
              <w:rPr>
                <w:sz w:val="16"/>
              </w:rPr>
              <w:t>664 41 Popůvky</w:t>
            </w:r>
          </w:p>
          <w:p w:rsidR="001D2DE3" w:rsidRDefault="005A3D18">
            <w:pPr>
              <w:spacing w:after="565" w:line="259" w:lineRule="auto"/>
              <w:ind w:left="0" w:firstLine="0"/>
            </w:pPr>
            <w:r>
              <w:rPr>
                <w:sz w:val="16"/>
              </w:rPr>
              <w:t>Česká republika</w:t>
            </w:r>
          </w:p>
          <w:p w:rsidR="001D2DE3" w:rsidRDefault="005A3D18">
            <w:pPr>
              <w:spacing w:after="28" w:line="259" w:lineRule="auto"/>
              <w:ind w:left="0" w:firstLine="0"/>
            </w:pPr>
            <w:r>
              <w:rPr>
                <w:sz w:val="16"/>
              </w:rPr>
              <w:t xml:space="preserve"> 48909513</w:t>
            </w:r>
          </w:p>
          <w:p w:rsidR="001D2DE3" w:rsidRDefault="005A3D18">
            <w:pPr>
              <w:spacing w:after="0" w:line="259" w:lineRule="auto"/>
              <w:ind w:left="0" w:firstLine="0"/>
            </w:pPr>
            <w:r>
              <w:rPr>
                <w:sz w:val="16"/>
              </w:rPr>
              <w:t xml:space="preserve"> CZ48909513</w:t>
            </w:r>
          </w:p>
        </w:tc>
        <w:tc>
          <w:tcPr>
            <w:tcW w:w="113" w:type="dxa"/>
            <w:tcBorders>
              <w:top w:val="nil"/>
              <w:left w:val="single" w:sz="2" w:space="0" w:color="000000"/>
              <w:bottom w:val="nil"/>
              <w:right w:val="single" w:sz="2" w:space="0" w:color="000000"/>
            </w:tcBorders>
          </w:tcPr>
          <w:p w:rsidR="001D2DE3" w:rsidRDefault="001D2DE3">
            <w:pPr>
              <w:spacing w:after="160" w:line="259" w:lineRule="auto"/>
              <w:ind w:left="0" w:firstLine="0"/>
            </w:pPr>
          </w:p>
        </w:tc>
        <w:tc>
          <w:tcPr>
            <w:tcW w:w="4877" w:type="dxa"/>
            <w:tcBorders>
              <w:top w:val="single" w:sz="2" w:space="0" w:color="000000"/>
              <w:left w:val="single" w:sz="2" w:space="0" w:color="000000"/>
              <w:bottom w:val="single" w:sz="2" w:space="0" w:color="000000"/>
              <w:right w:val="single" w:sz="2" w:space="0" w:color="000000"/>
            </w:tcBorders>
          </w:tcPr>
          <w:p w:rsidR="001D2DE3" w:rsidRDefault="005A3D18">
            <w:pPr>
              <w:spacing w:after="0"/>
              <w:ind w:left="2" w:firstLine="0"/>
            </w:pPr>
            <w:r>
              <w:rPr>
                <w:b/>
                <w:sz w:val="20"/>
              </w:rPr>
              <w:t xml:space="preserve">Integrovaná střední škola technická, Benešov, </w:t>
            </w:r>
            <w:proofErr w:type="spellStart"/>
            <w:r>
              <w:rPr>
                <w:b/>
                <w:sz w:val="20"/>
              </w:rPr>
              <w:t>Černoleská</w:t>
            </w:r>
            <w:proofErr w:type="spellEnd"/>
            <w:r>
              <w:rPr>
                <w:b/>
                <w:sz w:val="20"/>
              </w:rPr>
              <w:t xml:space="preserve"> 1997</w:t>
            </w:r>
          </w:p>
          <w:p w:rsidR="001D2DE3" w:rsidRDefault="005A3D18">
            <w:pPr>
              <w:spacing w:after="0" w:line="259" w:lineRule="auto"/>
              <w:ind w:left="2" w:firstLine="0"/>
            </w:pPr>
            <w:proofErr w:type="spellStart"/>
            <w:r>
              <w:rPr>
                <w:sz w:val="16"/>
              </w:rPr>
              <w:t>Černoleská</w:t>
            </w:r>
            <w:proofErr w:type="spellEnd"/>
            <w:r>
              <w:rPr>
                <w:sz w:val="16"/>
              </w:rPr>
              <w:t xml:space="preserve"> 1997</w:t>
            </w:r>
          </w:p>
          <w:p w:rsidR="001D2DE3" w:rsidRDefault="005A3D18">
            <w:pPr>
              <w:spacing w:after="0" w:line="259" w:lineRule="auto"/>
              <w:ind w:left="2" w:firstLine="0"/>
            </w:pPr>
            <w:r>
              <w:rPr>
                <w:sz w:val="16"/>
              </w:rPr>
              <w:t>256 01 Benešov</w:t>
            </w:r>
          </w:p>
          <w:p w:rsidR="001D2DE3" w:rsidRDefault="005A3D18">
            <w:pPr>
              <w:spacing w:after="572" w:line="259" w:lineRule="auto"/>
              <w:ind w:left="2" w:firstLine="0"/>
            </w:pPr>
            <w:r>
              <w:rPr>
                <w:sz w:val="16"/>
              </w:rPr>
              <w:t>Česká republika</w:t>
            </w:r>
          </w:p>
          <w:p w:rsidR="001D2DE3" w:rsidRDefault="005A3D18">
            <w:pPr>
              <w:spacing w:after="28" w:line="259" w:lineRule="auto"/>
              <w:ind w:left="2" w:firstLine="0"/>
            </w:pPr>
            <w:r>
              <w:rPr>
                <w:sz w:val="16"/>
              </w:rPr>
              <w:t xml:space="preserve"> 18620442</w:t>
            </w:r>
          </w:p>
          <w:p w:rsidR="001D2DE3" w:rsidRDefault="005A3D18">
            <w:pPr>
              <w:spacing w:after="0" w:line="259" w:lineRule="auto"/>
              <w:ind w:left="2" w:firstLine="0"/>
            </w:pPr>
            <w:r>
              <w:rPr>
                <w:sz w:val="16"/>
              </w:rPr>
              <w:t xml:space="preserve"> </w:t>
            </w:r>
          </w:p>
        </w:tc>
      </w:tr>
    </w:tbl>
    <w:p w:rsidR="001D2DE3" w:rsidRDefault="005A3D18">
      <w:pPr>
        <w:tabs>
          <w:tab w:val="center" w:pos="6012"/>
        </w:tabs>
        <w:spacing w:after="471"/>
        <w:ind w:left="0" w:firstLine="0"/>
      </w:pPr>
      <w:r>
        <w:t>Ing. Martin Bednář, jednatel/</w:t>
      </w:r>
      <w:proofErr w:type="spellStart"/>
      <w:r>
        <w:t>ka</w:t>
      </w:r>
      <w:proofErr w:type="spellEnd"/>
      <w:r>
        <w:tab/>
        <w:t>Mgr. Jana Fialová, ředitel/</w:t>
      </w:r>
      <w:proofErr w:type="spellStart"/>
      <w:r>
        <w:t>ka</w:t>
      </w:r>
      <w:proofErr w:type="spellEnd"/>
      <w:r>
        <w:t xml:space="preserve"> školy</w:t>
      </w:r>
    </w:p>
    <w:p w:rsidR="001D2DE3" w:rsidRDefault="005A3D18">
      <w:pPr>
        <w:tabs>
          <w:tab w:val="center" w:pos="5135"/>
        </w:tabs>
        <w:spacing w:after="243"/>
        <w:ind w:left="0" w:firstLine="0"/>
      </w:pPr>
      <w:r>
        <w:t xml:space="preserve"> Poskytovatel:</w:t>
      </w:r>
      <w:r>
        <w:tab/>
        <w:t xml:space="preserve"> Objednatel:</w:t>
      </w:r>
    </w:p>
    <w:p w:rsidR="001D2DE3" w:rsidRDefault="005A3D18">
      <w:pPr>
        <w:pStyle w:val="Nadpis1"/>
        <w:ind w:left="16" w:right="3"/>
      </w:pPr>
      <w:r>
        <w:t>I. ÚVODNÍ USTANOVENÍ</w:t>
      </w:r>
    </w:p>
    <w:p w:rsidR="001D2DE3" w:rsidRDefault="005A3D18">
      <w:pPr>
        <w:ind w:left="-5"/>
      </w:pPr>
      <w:r>
        <w:t xml:space="preserve">1.1 </w:t>
      </w:r>
      <w:r>
        <w:t xml:space="preserve">Poskytovatel je dodavatelem plynových tepelných čerpadel ROBUR a plynových kondenzačních kotlů ROBUR s příslušenstvím určených pro vytápění (dále </w:t>
      </w:r>
      <w:proofErr w:type="gramStart"/>
      <w:r>
        <w:t>také  produkty</w:t>
      </w:r>
      <w:proofErr w:type="gramEnd"/>
      <w:r>
        <w:t xml:space="preserve"> ) jakož i poskytovatel související technické podpory a servisních služeb na dané produkty.</w:t>
      </w:r>
    </w:p>
    <w:p w:rsidR="001D2DE3" w:rsidRDefault="005A3D18">
      <w:pPr>
        <w:ind w:left="-5"/>
      </w:pPr>
      <w:r>
        <w:t xml:space="preserve">1.2 </w:t>
      </w:r>
      <w:r>
        <w:t>Objednatel má zájem odebírat od poskytovatele jeho servisní služby na poskytovatelem dodávané produkty.</w:t>
      </w:r>
    </w:p>
    <w:p w:rsidR="001D2DE3" w:rsidRDefault="005A3D18">
      <w:pPr>
        <w:pStyle w:val="Nadpis1"/>
        <w:ind w:left="16"/>
      </w:pPr>
      <w:r>
        <w:t xml:space="preserve">II. PŘEDMĚT SERVISNÍ SMLOUVY </w:t>
      </w:r>
    </w:p>
    <w:p w:rsidR="001D2DE3" w:rsidRDefault="005A3D18">
      <w:pPr>
        <w:spacing w:after="0"/>
        <w:ind w:left="-5"/>
      </w:pPr>
      <w:r>
        <w:t xml:space="preserve">2.1 Poskytovatel se zavazuje po dobu platnosti servisní smlouvy poskytovat objednateli na základě jeho požadavků servisní </w:t>
      </w:r>
      <w:r>
        <w:t xml:space="preserve">služby k produktům, které jsou specifikovány v článku XI. této </w:t>
      </w:r>
      <w:proofErr w:type="gramStart"/>
      <w:r>
        <w:t>smlouvy</w:t>
      </w:r>
      <w:proofErr w:type="gramEnd"/>
      <w:r>
        <w:t xml:space="preserve"> a to na produkty od poskytovatele vymezené v čl. III. a čl. XIII. této smlouvy. </w:t>
      </w:r>
    </w:p>
    <w:p w:rsidR="001D2DE3" w:rsidRDefault="005A3D18">
      <w:pPr>
        <w:spacing w:after="0"/>
        <w:ind w:left="-5"/>
      </w:pPr>
      <w:r>
        <w:t>Objednatel se zavazuje platit poskytovateli za poskytované služby dohodnutou cenu podle článku VI. a XI.</w:t>
      </w:r>
      <w:r>
        <w:t xml:space="preserve"> této smlouvy. </w:t>
      </w:r>
    </w:p>
    <w:p w:rsidR="001D2DE3" w:rsidRDefault="005A3D18">
      <w:pPr>
        <w:spacing w:after="0" w:line="259" w:lineRule="auto"/>
        <w:ind w:left="0" w:firstLine="0"/>
      </w:pPr>
      <w:r>
        <w:t xml:space="preserve">  </w:t>
      </w:r>
    </w:p>
    <w:p w:rsidR="001D2DE3" w:rsidRDefault="005A3D18">
      <w:pPr>
        <w:ind w:left="-5"/>
      </w:pPr>
      <w:r>
        <w:t>2.2 Jakékoliv další služby týkající se poskytování servisních služeb nad rámec služeb dohodnutých touto smlouvou, bude poskytovatel poskytovat objednateli na základě písemného dodatku k této smlouvě nebo na základě zvláštní písemné objed</w:t>
      </w:r>
      <w:r>
        <w:t>návky, a to za cenových podmínek podle aktuálního platného ceníku servisních služeb poskytovatele.</w:t>
      </w:r>
    </w:p>
    <w:p w:rsidR="001D2DE3" w:rsidRDefault="005A3D18">
      <w:pPr>
        <w:pStyle w:val="Nadpis1"/>
        <w:ind w:left="16" w:right="3"/>
      </w:pPr>
      <w:r>
        <w:t>III. PRODUKTY POSKYTOVATELE</w:t>
      </w:r>
    </w:p>
    <w:p w:rsidR="001D2DE3" w:rsidRDefault="005A3D18">
      <w:pPr>
        <w:spacing w:after="192" w:line="239" w:lineRule="auto"/>
        <w:ind w:left="0" w:firstLine="0"/>
      </w:pPr>
      <w:r>
        <w:rPr>
          <w:rFonts w:ascii="Calibri" w:eastAsia="Calibri" w:hAnsi="Calibri" w:cs="Calibri"/>
        </w:rPr>
        <w:t>3.1 Smluvní strany výslovně sjednávají, že poskytovatel bude objednateli poskytovat služby na produktech uvedených v článku XIII.</w:t>
      </w:r>
      <w:r>
        <w:rPr>
          <w:rFonts w:ascii="Calibri" w:eastAsia="Calibri" w:hAnsi="Calibri" w:cs="Calibri"/>
        </w:rPr>
        <w:t xml:space="preserve"> této smlouvy.</w:t>
      </w:r>
    </w:p>
    <w:p w:rsidR="001D2DE3" w:rsidRDefault="005A3D18">
      <w:pPr>
        <w:ind w:left="-5"/>
      </w:pPr>
      <w:r>
        <w:t>3.2 Adresa provozu produktu/ů:</w:t>
      </w:r>
    </w:p>
    <w:p w:rsidR="001D2DE3" w:rsidRDefault="005A3D18">
      <w:pPr>
        <w:ind w:left="-5"/>
      </w:pPr>
      <w:r>
        <w:t xml:space="preserve">* Integrovaná střední škola technická, </w:t>
      </w:r>
      <w:proofErr w:type="spellStart"/>
      <w:r>
        <w:t>Černoleská</w:t>
      </w:r>
      <w:proofErr w:type="spellEnd"/>
      <w:r>
        <w:t xml:space="preserve"> 1997 256 01 Benešov</w:t>
      </w:r>
    </w:p>
    <w:p w:rsidR="001D2DE3" w:rsidRDefault="005A3D18">
      <w:pPr>
        <w:pStyle w:val="Nadpis1"/>
        <w:ind w:left="16" w:right="1"/>
      </w:pPr>
      <w:r>
        <w:t>IV. SPOLUPRÁCE, SOUČINNOST A VZÁJEMNÉ POVINNOSTI SMLUVNÍCH STRAN</w:t>
      </w:r>
    </w:p>
    <w:p w:rsidR="001D2DE3" w:rsidRDefault="005A3D18">
      <w:pPr>
        <w:ind w:left="-5"/>
      </w:pPr>
      <w:r>
        <w:t xml:space="preserve">4.1 Objednatel poskytne poskytovateli svou veškerou součinnost k provedení </w:t>
      </w:r>
      <w:r>
        <w:t>servisních prací.</w:t>
      </w:r>
    </w:p>
    <w:p w:rsidR="001D2DE3" w:rsidRDefault="005A3D18">
      <w:pPr>
        <w:spacing w:after="9"/>
        <w:ind w:left="-5"/>
      </w:pPr>
      <w:r>
        <w:t>4.2 Objednatel je zejména povinen:</w:t>
      </w:r>
    </w:p>
    <w:p w:rsidR="001D2DE3" w:rsidRDefault="005A3D18">
      <w:pPr>
        <w:numPr>
          <w:ilvl w:val="0"/>
          <w:numId w:val="1"/>
        </w:numPr>
        <w:spacing w:after="9"/>
        <w:ind w:hanging="110"/>
      </w:pPr>
      <w:r>
        <w:t>zabezpečit obsluhu produktů pouze pracovníky, kteří byli proškoleni poskytovatelem;</w:t>
      </w:r>
    </w:p>
    <w:p w:rsidR="001D2DE3" w:rsidRDefault="005A3D18">
      <w:pPr>
        <w:numPr>
          <w:ilvl w:val="0"/>
          <w:numId w:val="1"/>
        </w:numPr>
        <w:spacing w:after="4"/>
        <w:ind w:hanging="110"/>
      </w:pPr>
      <w:r>
        <w:t xml:space="preserve">používat produkty   tepelná čerpadla a kondenzační kotle </w:t>
      </w:r>
      <w:proofErr w:type="gramStart"/>
      <w:r>
        <w:t xml:space="preserve">ROBUR - </w:t>
      </w:r>
      <w:r>
        <w:t>pouze</w:t>
      </w:r>
      <w:proofErr w:type="gramEnd"/>
      <w:r>
        <w:t xml:space="preserve"> způsobem, který je v souladu s návodem k obsluze od poskytovatele;</w:t>
      </w:r>
    </w:p>
    <w:p w:rsidR="001D2DE3" w:rsidRDefault="005A3D18">
      <w:pPr>
        <w:numPr>
          <w:ilvl w:val="0"/>
          <w:numId w:val="1"/>
        </w:numPr>
        <w:ind w:hanging="110"/>
      </w:pPr>
      <w:r>
        <w:t>zabezpečit, aby opravu a údržbu produktu prováděl pouze odborný a školený servisní pracovník poskytovatele.</w:t>
      </w:r>
    </w:p>
    <w:p w:rsidR="001D2DE3" w:rsidRDefault="005A3D18">
      <w:pPr>
        <w:spacing w:after="1"/>
        <w:ind w:left="-5"/>
      </w:pPr>
      <w:r>
        <w:t>4.3 Objednatel bezplatně zajistí v místech instalace produktů (ve svých záv</w:t>
      </w:r>
      <w:r>
        <w:t>odech, provozech, prostorách třetích osob, v nichž budou produkty umístěny) všechny předpoklady nutné pro řádnou realizaci plnění poskytovatele dle této smlouvy. Tyto předpoklady mimo jiné zahrnují (v rozsahu potřebném pro plnění závazků poskytovatele podl</w:t>
      </w:r>
      <w:r>
        <w:t>e této smlouvy):</w:t>
      </w:r>
    </w:p>
    <w:p w:rsidR="001D2DE3" w:rsidRDefault="005A3D18">
      <w:pPr>
        <w:numPr>
          <w:ilvl w:val="0"/>
          <w:numId w:val="1"/>
        </w:numPr>
        <w:spacing w:after="9"/>
        <w:ind w:hanging="110"/>
      </w:pPr>
      <w:r>
        <w:t>určení způsobilé a odpovědné kontaktní osoby v místě instalace produktu;</w:t>
      </w:r>
    </w:p>
    <w:p w:rsidR="001D2DE3" w:rsidRDefault="005A3D18">
      <w:pPr>
        <w:numPr>
          <w:ilvl w:val="0"/>
          <w:numId w:val="1"/>
        </w:numPr>
        <w:spacing w:after="9"/>
        <w:ind w:hanging="110"/>
      </w:pPr>
      <w:r>
        <w:t>určení způsobilé a odpovědné osoby vykonávající obsluhu produktu dle návodu k obsluze;</w:t>
      </w:r>
    </w:p>
    <w:p w:rsidR="001D2DE3" w:rsidRDefault="005A3D18">
      <w:pPr>
        <w:numPr>
          <w:ilvl w:val="0"/>
          <w:numId w:val="1"/>
        </w:numPr>
        <w:ind w:hanging="110"/>
      </w:pPr>
      <w:r>
        <w:t>garance požadovaného přístupu do prostor, kde jsou umístěny produkty objednatel</w:t>
      </w:r>
      <w:r>
        <w:t>e a přístupu k produktům;</w:t>
      </w:r>
    </w:p>
    <w:p w:rsidR="001D2DE3" w:rsidRDefault="005A3D18">
      <w:pPr>
        <w:numPr>
          <w:ilvl w:val="0"/>
          <w:numId w:val="1"/>
        </w:numPr>
        <w:ind w:hanging="110"/>
      </w:pPr>
      <w:r>
        <w:lastRenderedPageBreak/>
        <w:t xml:space="preserve">objednatel poskytne poskytovateli informace potřebné k tomu, aby byly práce ukončeny řádně a včas; - neprodlené poskytnutí zprávy o hlášení poruchy </w:t>
      </w:r>
      <w:proofErr w:type="gramStart"/>
      <w:r>
        <w:t>poskytovateli  dle</w:t>
      </w:r>
      <w:proofErr w:type="gramEnd"/>
      <w:r>
        <w:t xml:space="preserve"> odstavce 8.2 této smlouvy.</w:t>
      </w:r>
    </w:p>
    <w:p w:rsidR="001D2DE3" w:rsidRDefault="005A3D18">
      <w:pPr>
        <w:numPr>
          <w:ilvl w:val="1"/>
          <w:numId w:val="2"/>
        </w:numPr>
        <w:ind w:hanging="302"/>
      </w:pPr>
      <w:r>
        <w:t>Objednatel je povinen zabezpečit pro</w:t>
      </w:r>
      <w:r>
        <w:t>dukty poskytovatele před neoprávněnými zásahy, jakož i před jiným poškozením či ohrožením.</w:t>
      </w:r>
    </w:p>
    <w:p w:rsidR="001D2DE3" w:rsidRDefault="005A3D18">
      <w:pPr>
        <w:numPr>
          <w:ilvl w:val="1"/>
          <w:numId w:val="2"/>
        </w:numPr>
        <w:spacing w:after="9"/>
        <w:ind w:hanging="302"/>
      </w:pPr>
      <w:r>
        <w:t>Poskytovatel je zejména povinen:</w:t>
      </w:r>
    </w:p>
    <w:p w:rsidR="001D2DE3" w:rsidRDefault="005A3D18">
      <w:pPr>
        <w:numPr>
          <w:ilvl w:val="0"/>
          <w:numId w:val="1"/>
        </w:numPr>
        <w:spacing w:after="9"/>
        <w:ind w:hanging="110"/>
      </w:pPr>
      <w:r>
        <w:t>provádět pravidelné roční prohlídky produktů objednatele;</w:t>
      </w:r>
    </w:p>
    <w:p w:rsidR="001D2DE3" w:rsidRDefault="005A3D18">
      <w:pPr>
        <w:numPr>
          <w:ilvl w:val="0"/>
          <w:numId w:val="1"/>
        </w:numPr>
        <w:spacing w:after="6"/>
        <w:ind w:hanging="110"/>
      </w:pPr>
      <w:r>
        <w:t>vyměnit poškozené nebo opotřebované díly a součásti, které ohrožují provoz</w:t>
      </w:r>
      <w:r>
        <w:t xml:space="preserve"> produktů (tyto servisní služby a cena náhradních dílů však nejsou obsaženy v ceně podle článku VI. a XI. této smlouvy;</w:t>
      </w:r>
    </w:p>
    <w:p w:rsidR="001D2DE3" w:rsidRDefault="005A3D18">
      <w:pPr>
        <w:numPr>
          <w:ilvl w:val="0"/>
          <w:numId w:val="1"/>
        </w:numPr>
        <w:spacing w:after="1"/>
        <w:ind w:hanging="110"/>
      </w:pPr>
      <w:r>
        <w:t xml:space="preserve">na žádost objednatele zaškolit nové pracovníky objednatele jako obsluhu </w:t>
      </w:r>
      <w:proofErr w:type="gramStart"/>
      <w:r>
        <w:t>produktů - jednotek</w:t>
      </w:r>
      <w:proofErr w:type="gramEnd"/>
      <w:r>
        <w:t xml:space="preserve"> ROBUR a to v rámci pravidelné prohlídky;</w:t>
      </w:r>
    </w:p>
    <w:p w:rsidR="001D2DE3" w:rsidRDefault="005A3D18">
      <w:pPr>
        <w:numPr>
          <w:ilvl w:val="0"/>
          <w:numId w:val="1"/>
        </w:numPr>
        <w:ind w:hanging="110"/>
      </w:pPr>
      <w:r>
        <w:t>udr</w:t>
      </w:r>
      <w:r>
        <w:t>žovat sklad náhradních dílů pro potřeby náležitého plnění této smlouvy.</w:t>
      </w:r>
    </w:p>
    <w:p w:rsidR="001D2DE3" w:rsidRDefault="005A3D18">
      <w:pPr>
        <w:numPr>
          <w:ilvl w:val="1"/>
          <w:numId w:val="3"/>
        </w:numPr>
      </w:pPr>
      <w:r>
        <w:t>Poskytovatel je povinen vyvinout veškeré úsilí při poskytování servisních služeb objednateli dle této smlouvy tak, aby byl zabezpečen bezproblémový chod produktů poskytovatele.</w:t>
      </w:r>
    </w:p>
    <w:p w:rsidR="001D2DE3" w:rsidRDefault="005A3D18">
      <w:pPr>
        <w:numPr>
          <w:ilvl w:val="1"/>
          <w:numId w:val="3"/>
        </w:numPr>
      </w:pPr>
      <w:r>
        <w:t>Objedna</w:t>
      </w:r>
      <w:r>
        <w:t>tel je povinen informovat bez zbytečného odkladu poskytovatele o jakýchkoliv závadách na produktu i v případě, že takové závady nebrání dalšímu provozu produktů. V případě, že objednatel bude produkt od poskytovatele používat i po zjištění závady produktu,</w:t>
      </w:r>
      <w:r>
        <w:t xml:space="preserve"> nese za jakékoliv poškození produktů plnou odpovědnost a předmětné jednání objednatele bude považováno za neodborný zásah do produktu objednatele.</w:t>
      </w:r>
    </w:p>
    <w:p w:rsidR="001D2DE3" w:rsidRDefault="005A3D18">
      <w:pPr>
        <w:numPr>
          <w:ilvl w:val="1"/>
          <w:numId w:val="3"/>
        </w:numPr>
      </w:pPr>
      <w:r>
        <w:t>V případě, že dojde k poškození produktu neodborným zásahem či nesprávným užíváním objednatele, bude cena náhradních dílů a oprava produktu vyúčtována poskytovatelem objednateli dle platného ceníku náhradních dílu a oprav poskytovatele, zvlášť vedle sjedna</w:t>
      </w:r>
      <w:r>
        <w:t>né úhrady ceny za servisní služby podle této smlouvy.</w:t>
      </w:r>
    </w:p>
    <w:p w:rsidR="001D2DE3" w:rsidRDefault="005A3D18">
      <w:pPr>
        <w:numPr>
          <w:ilvl w:val="1"/>
          <w:numId w:val="3"/>
        </w:numPr>
      </w:pPr>
      <w:r>
        <w:t>Poskytovatel je oprávněn jím poskytovaná plnění vykonávat prostřednictvím třetí osoby, resp. smluvního partnera, aniž by tím ovšem byla dotčena jeho odpovědnost za veškeré provedené činnosti v rámci ser</w:t>
      </w:r>
      <w:r>
        <w:t>visních služeb vůči objednateli.</w:t>
      </w:r>
    </w:p>
    <w:p w:rsidR="001D2DE3" w:rsidRDefault="005A3D18">
      <w:pPr>
        <w:pStyle w:val="Nadpis1"/>
        <w:ind w:left="16" w:right="2"/>
      </w:pPr>
      <w:r>
        <w:t>V. PŘÍSTUP DO PROSTOR</w:t>
      </w:r>
    </w:p>
    <w:p w:rsidR="001D2DE3" w:rsidRDefault="005A3D18">
      <w:pPr>
        <w:ind w:left="-5"/>
      </w:pPr>
      <w:r>
        <w:t xml:space="preserve">5.1 </w:t>
      </w:r>
      <w:r>
        <w:t xml:space="preserve">Objednatel umožní, popř. zajistí, poskytovateli přístup do prostor, ve kterých bude poskytovatel služby poskytovat, a užití těchto prostor, popř. zajistí přístup k potřebné infrastruktuře v rozsahu nutném k poskytování služeb, a to nejpozději se zahájením </w:t>
      </w:r>
      <w:r>
        <w:t>přípravných prací.</w:t>
      </w:r>
    </w:p>
    <w:p w:rsidR="001D2DE3" w:rsidRDefault="005A3D18">
      <w:pPr>
        <w:pStyle w:val="Nadpis1"/>
        <w:ind w:left="16"/>
      </w:pPr>
      <w:r>
        <w:t>VI. CENA A PLATEBNÍ PODMÍNKY</w:t>
      </w:r>
    </w:p>
    <w:p w:rsidR="001D2DE3" w:rsidRDefault="005A3D18">
      <w:pPr>
        <w:ind w:left="-5"/>
      </w:pPr>
      <w:r>
        <w:t xml:space="preserve">6.1 Objednatel se zavazuje platit poskytovateli za poskytované služby cenu, jejíž výše je stanovena v článku XI. této smlouvy, v případě výměny poškozeného nebo opotřebovaného dílu </w:t>
      </w:r>
      <w:proofErr w:type="gramStart"/>
      <w:r>
        <w:t>či  součásti</w:t>
      </w:r>
      <w:proofErr w:type="gramEnd"/>
      <w:r>
        <w:t>, které ohrožuj</w:t>
      </w:r>
      <w:r>
        <w:t>í provoz produktů pak cenu podle platného ceníku náhradních dílu a oprav poskytovatele. Poskytovatel je oprávněn jedenkrát v každém kalendářním roce trvání této smlouvy jednostranně navýšit o míru inflace, stanovenou Českým statistickým úřadem za období př</w:t>
      </w:r>
      <w:r>
        <w:t>edchozího kalendářního roku jako přírůstek průměrného ročního indexu spotřebitelských cen. Toto zvýšení bude poskytovatelem oznámeno minimálně 30 dnů předem.</w:t>
      </w:r>
    </w:p>
    <w:p w:rsidR="001D2DE3" w:rsidRDefault="005A3D18">
      <w:pPr>
        <w:ind w:left="-5"/>
      </w:pPr>
      <w:r>
        <w:t xml:space="preserve">6.2 Smluvní strany podpisem této Smlouvy sjednávají, že v případě nahrazení české měny (Kč) měnou </w:t>
      </w:r>
      <w:r>
        <w:t>Evropské unie (EUR) bude pro účely dílčích servisních smluv proveden přepočet ceny na měnu Evropské unie podle úředně stanoveného směnného kursu pro nahrazení české měny. Nahrazení české měny nebude mít jakýkoli vliv na povinnost smluvních stran plnit řádn</w:t>
      </w:r>
      <w:r>
        <w:t>ě a včas všechny své závazky vyplývající ze sjednaných smluv. Inflační doložka a její uplatnění podle odst. 6.1 této Smlouvy zůstane v případě nahrazení české měny zachována s tím, že míra inflace bude stanovována orgánem, který bude po přechodu české měny</w:t>
      </w:r>
      <w:r>
        <w:t xml:space="preserve"> na měnu Evropské unie oprávněný k vyhlašování míry inflace měny Evropské unie v České republice.</w:t>
      </w:r>
    </w:p>
    <w:p w:rsidR="001D2DE3" w:rsidRDefault="005A3D18">
      <w:pPr>
        <w:ind w:left="-5"/>
      </w:pPr>
      <w:r>
        <w:t>6.3 Úhrada za servisní péči (cena za poskytované služby) bude prováděna na základě faktury vystavené poskytovatelem dle specifikace v čl. XI. této smlouvy, př</w:t>
      </w:r>
      <w:r>
        <w:t xml:space="preserve">ičemž k ceně služby bude účtována DPH dle platných předpisů. Celková cena za servisní služby bude uhrazena objednatelem bankovním převodem se splatností </w:t>
      </w:r>
      <w:proofErr w:type="gramStart"/>
      <w:r>
        <w:t>30-ti</w:t>
      </w:r>
      <w:proofErr w:type="gramEnd"/>
      <w:r>
        <w:t xml:space="preserve"> dní ode dne vystavení daňového dokladu. </w:t>
      </w:r>
    </w:p>
    <w:p w:rsidR="001D2DE3" w:rsidRDefault="005A3D18">
      <w:pPr>
        <w:ind w:left="-5"/>
      </w:pPr>
      <w:r>
        <w:t xml:space="preserve">6.4 V případě prodlení objednatele s úhradou vyúčtované </w:t>
      </w:r>
      <w:r>
        <w:t xml:space="preserve">ceny je objednatel povinen uhradit poskytovateli úrok z prodlení ve výši </w:t>
      </w:r>
      <w:proofErr w:type="gramStart"/>
      <w:r>
        <w:t>0,05%</w:t>
      </w:r>
      <w:proofErr w:type="gramEnd"/>
      <w:r>
        <w:t xml:space="preserve"> denně z dlužné částky.</w:t>
      </w:r>
    </w:p>
    <w:p w:rsidR="001D2DE3" w:rsidRDefault="005A3D18">
      <w:pPr>
        <w:ind w:left="-5"/>
      </w:pPr>
      <w:r>
        <w:lastRenderedPageBreak/>
        <w:t>6.5 V případě prodlení objednatele delším než 30 dnů se zaplacením dlužné částky z této nebo z jiných smluv uzavřených s poskytovatelem je poskytovatel op</w:t>
      </w:r>
      <w:r>
        <w:t>rávněn pozastavit poskytování jakýchkoliv servisních služeb do doby zaplacení dlužné částky s tím, že za jakékoliv následky pro objednatele z důvodu neposkytování služeb poskytovatelem v tomto případě nenese poskytovatel žádnou odpovědnost. Pozastavení pos</w:t>
      </w:r>
      <w:r>
        <w:t>kytování služeb dle tohoto článku nemá vliv na povinnost objednatele platit cenu služeb dle této smlouvy.</w:t>
      </w:r>
    </w:p>
    <w:p w:rsidR="001D2DE3" w:rsidRDefault="005A3D18">
      <w:pPr>
        <w:pStyle w:val="Nadpis1"/>
        <w:ind w:left="16" w:right="3"/>
      </w:pPr>
      <w:r>
        <w:t>VII. ÚROVEŇ POSKYTOVANÝCH SLUŽEB, ODPOVĚDNOST</w:t>
      </w:r>
    </w:p>
    <w:p w:rsidR="001D2DE3" w:rsidRDefault="005A3D18">
      <w:pPr>
        <w:ind w:left="-5"/>
      </w:pPr>
      <w:r>
        <w:t>7.1 Poskytovatel je povinen poskytovat služby tak, jak je stanoveno v článku XI. této smlouvy. Článek XI</w:t>
      </w:r>
      <w:r>
        <w:t>. stanoví rozsah a úroveň poskytovaných servisních služeb.</w:t>
      </w:r>
    </w:p>
    <w:p w:rsidR="001D2DE3" w:rsidRDefault="005A3D18">
      <w:pPr>
        <w:ind w:left="-5"/>
      </w:pPr>
      <w:r>
        <w:t>7.2 Poskytovatel nebude odpovědný za neplnění svých závazků ze servisní smlouvy v důsledku nedostatečného zajištění elektřiny, plynu, popř. jiných médií, bezpečnosti provozu, bezpečnosti zařízení a</w:t>
      </w:r>
      <w:r>
        <w:t xml:space="preserve"> jiných služeb ze strany objednatele, které nebyl poskytovatel povinen zajistit.</w:t>
      </w:r>
    </w:p>
    <w:p w:rsidR="001D2DE3" w:rsidRDefault="005A3D18">
      <w:pPr>
        <w:ind w:left="-5"/>
      </w:pPr>
      <w:r>
        <w:t>7.3 Poskytovatel nebude odpovídat za neplnění svých závazků ze servisní smlouvy, pokud takové neplnění bude způsobeno dočasnou nebo trvalou mimořádnou a nepřekonatelnou překáž</w:t>
      </w:r>
      <w:r>
        <w:t>kou, která vznikla nezávisle na vůli poskytovatele.</w:t>
      </w:r>
    </w:p>
    <w:p w:rsidR="001D2DE3" w:rsidRDefault="005A3D18">
      <w:pPr>
        <w:pStyle w:val="Nadpis1"/>
        <w:ind w:left="16"/>
      </w:pPr>
      <w:r>
        <w:t>VIII. LHŮTY A MÍSTO PLNĚNÍ SLUŽEB, PRODLENÍ</w:t>
      </w:r>
    </w:p>
    <w:p w:rsidR="001D2DE3" w:rsidRDefault="005A3D18">
      <w:pPr>
        <w:ind w:left="-5"/>
      </w:pPr>
      <w:r>
        <w:t>8.1 Místo plnění poskytovatele je místo umístění produktů poskytovatele, sjednané v servisní smlouvě (viz čl. III. odst. 3.1 této smlouvy), pokud nebude dohodnu</w:t>
      </w:r>
      <w:r>
        <w:t>to jinak.</w:t>
      </w:r>
    </w:p>
    <w:p w:rsidR="001D2DE3" w:rsidRDefault="005A3D18">
      <w:pPr>
        <w:spacing w:after="0"/>
        <w:ind w:left="-5"/>
      </w:pPr>
      <w:r>
        <w:t>8.2 Servisní zásah k odstranění závady provede poskytovatel v nejkratším možném termínu. Není-li v článku XI. této smlouvy stanoveno jinak, zavazuje se poskytovatel dostavit se k zjištění vytčené vady (nelze-li zjištění a případné odstranění vady</w:t>
      </w:r>
      <w:r>
        <w:t xml:space="preserve"> provést prostředky vzdálené podpory) ve lhůtě během následujících 24 hodin po dni nahlášení závady objednatelem v případě, kdy závada může přímo ohrozit bezpečnost osob a/nebo způsobit závažné škody na majetku a během následujících čtyř pracovních dnů v p</w:t>
      </w:r>
      <w:r>
        <w:t xml:space="preserve">řípadě jiných závad s tím, že poskytovatel je povinen odstranit vadu v nejkratším možném termínu, nejpozději však do 30 dnů od nahlášení vady objednatelem. </w:t>
      </w:r>
    </w:p>
    <w:p w:rsidR="001D2DE3" w:rsidRDefault="005A3D18">
      <w:pPr>
        <w:ind w:left="-5"/>
      </w:pPr>
      <w:r>
        <w:t>Hlášení závady na produktu bude objednatelem oznámeno faxovou nebo e-mailovou zprávou, popřípadě te</w:t>
      </w:r>
      <w:r>
        <w:t xml:space="preserve">lefonicky. V případě sjednání služeb rozsahu podle </w:t>
      </w:r>
      <w:proofErr w:type="gramStart"/>
      <w:r>
        <w:t>článku  11.3</w:t>
      </w:r>
      <w:proofErr w:type="gramEnd"/>
      <w:r>
        <w:t xml:space="preserve"> Trvalý dohled  této smlouvy, hlášení závady objednatelem není vyžadováno.</w:t>
      </w:r>
    </w:p>
    <w:p w:rsidR="001D2DE3" w:rsidRDefault="005A3D18">
      <w:pPr>
        <w:ind w:left="-5"/>
      </w:pPr>
      <w:r>
        <w:t xml:space="preserve">8.3 Po nahlášení závady na produktu nebo po zjištění závady poskytovatelem (v případě sjednání služeb rozsahu podle </w:t>
      </w:r>
      <w:proofErr w:type="gramStart"/>
      <w:r>
        <w:t>čl</w:t>
      </w:r>
      <w:r>
        <w:t>ánku  11.3</w:t>
      </w:r>
      <w:proofErr w:type="gramEnd"/>
      <w:r>
        <w:t xml:space="preserve"> Trvalý dohled  této smlouvy)je objednatel povinen na výzvu </w:t>
      </w:r>
      <w:proofErr w:type="spellStart"/>
      <w:r>
        <w:t>postkytovatele</w:t>
      </w:r>
      <w:proofErr w:type="spellEnd"/>
      <w:r>
        <w:t xml:space="preserve"> učiněnou telefonicky nebo prostřednictvím SMS zprávy kontaktním osobám obsluhy poskytnout součinnost prostřednictvím osoby zodpovědné a obsluhu v souladu s návodem k obslu</w:t>
      </w:r>
      <w:r>
        <w:t xml:space="preserve">ze (především zjištění přívodu energií, funkčnosti hydraulického systému, odtahů spalin apod.). V případě neposkytnutí této součinnosti není poskytovatel v prodlení s plněním dle bodu 8.2. a 11.3.1. Plnění poskytovatele, pokud je to technicky </w:t>
      </w:r>
      <w:proofErr w:type="gramStart"/>
      <w:r>
        <w:t>možné,  může</w:t>
      </w:r>
      <w:proofErr w:type="gramEnd"/>
      <w:r>
        <w:t xml:space="preserve"> </w:t>
      </w:r>
      <w:r>
        <w:t>proběhnout formou vzdálené podpory. Touto vzdálenou podporou se rozumí zejména restart elektroniky případně úprava konfiguračního nastavení, které vedou k odstranění blokace chodu zařízení a obnovení plného a bezpečného chodu zařízení. Toto může proběhnout</w:t>
      </w:r>
      <w:r>
        <w:t xml:space="preserve"> bez zásahu obsluhy nebo v součinnosti s ní. Jelikož závada signalizovaná zařízením může signalizovat problém jinde v soustavě vytápění mimo samotné zařízení, může plnění proběhnout formou telefonické konzultace s obsluhou v tomto smyslu.</w:t>
      </w:r>
    </w:p>
    <w:p w:rsidR="001D2DE3" w:rsidRDefault="005A3D18">
      <w:pPr>
        <w:spacing w:after="218"/>
        <w:ind w:left="-5"/>
      </w:pPr>
      <w:r>
        <w:t>8.4 Pokud poskyto</w:t>
      </w:r>
      <w:r>
        <w:t>vatel zjistí, že nemůže poskytnout plnění ve stanovené lhůtě, je povinen okamžitě uvědomit objednatele o této skutečnosti s uvedením důvodu.</w:t>
      </w:r>
    </w:p>
    <w:p w:rsidR="001D2DE3" w:rsidRDefault="005A3D18">
      <w:pPr>
        <w:pStyle w:val="Nadpis1"/>
        <w:ind w:left="16"/>
      </w:pPr>
      <w:r>
        <w:t>IX. UPLATNĚNÍ POŽADAVKU NA SERVISNÍ SLUŽBY</w:t>
      </w:r>
    </w:p>
    <w:p w:rsidR="001D2DE3" w:rsidRDefault="005A3D18">
      <w:pPr>
        <w:ind w:left="-5"/>
      </w:pPr>
      <w:r>
        <w:t>9.1 Pokud se během trvání servisní smlouvy vyskytnou závady produktů dod</w:t>
      </w:r>
      <w:r>
        <w:t xml:space="preserve">aných poskytovatelem, bude objednatel poskytovatele neprodleně informovat o zjištěných </w:t>
      </w:r>
      <w:proofErr w:type="gramStart"/>
      <w:r>
        <w:t>závadách</w:t>
      </w:r>
      <w:proofErr w:type="gramEnd"/>
      <w:r>
        <w:t xml:space="preserve"> a přitom co nejpřesněji specifikuje vadu daného produktu. V případě </w:t>
      </w:r>
      <w:proofErr w:type="spellStart"/>
      <w:r>
        <w:t>sjedání</w:t>
      </w:r>
      <w:proofErr w:type="spellEnd"/>
      <w:r>
        <w:t xml:space="preserve"> služeb rozsahu podle </w:t>
      </w:r>
      <w:proofErr w:type="gramStart"/>
      <w:r>
        <w:t>článku  11.3</w:t>
      </w:r>
      <w:proofErr w:type="gramEnd"/>
      <w:r>
        <w:t xml:space="preserve"> Trvalý dohled  této smlouvy, hlášení závady objedn</w:t>
      </w:r>
      <w:r>
        <w:t>atelem není vyžadováno.</w:t>
      </w:r>
    </w:p>
    <w:p w:rsidR="001D2DE3" w:rsidRDefault="005A3D18">
      <w:pPr>
        <w:ind w:left="-5"/>
      </w:pPr>
      <w:r>
        <w:t xml:space="preserve">9.2 Objednatel může své požadavky na servisní služby uplatnit telefonicky na servisní středisko poskytovatele v Brně na telefonním čísle 800 153 491 v pracovních dnech v době od 7:00 do 16:00 hod, v jiném čase na servisním e-mailu </w:t>
      </w:r>
      <w:r>
        <w:rPr>
          <w:i/>
          <w:u w:val="single" w:color="000000"/>
        </w:rPr>
        <w:t>s</w:t>
      </w:r>
      <w:r>
        <w:rPr>
          <w:i/>
          <w:u w:val="single" w:color="000000"/>
        </w:rPr>
        <w:t>ervis@robur.cz</w:t>
      </w:r>
      <w:r>
        <w:t>, požadavky uplatněné telefonicky, faxem nebo elektronickou poštou v době po 16:00 hod mohou být považované za předané následující pracovní den.</w:t>
      </w:r>
    </w:p>
    <w:p w:rsidR="001D2DE3" w:rsidRDefault="005A3D18">
      <w:pPr>
        <w:pStyle w:val="Nadpis1"/>
        <w:ind w:left="16" w:right="1"/>
      </w:pPr>
      <w:r>
        <w:t xml:space="preserve">X. DOBA TRVÁNÍ </w:t>
      </w:r>
    </w:p>
    <w:p w:rsidR="001D2DE3" w:rsidRDefault="005A3D18">
      <w:pPr>
        <w:ind w:left="-5"/>
      </w:pPr>
      <w:r>
        <w:t>10.1 Servisní smlouva se uzavírá na dobu uzavírá na dobu určitou, a to od 1. 1. 2</w:t>
      </w:r>
      <w:r>
        <w:t xml:space="preserve">023 až 31. 12. 2024. </w:t>
      </w:r>
    </w:p>
    <w:p w:rsidR="001D2DE3" w:rsidRDefault="005A3D18">
      <w:pPr>
        <w:spacing w:after="28"/>
        <w:ind w:left="-5"/>
      </w:pPr>
      <w:r>
        <w:lastRenderedPageBreak/>
        <w:t>10.2 Poskytovatel může od servisní smlouvy odstoupit písemným oznámením objednateli, jestliže dojde k podstatnému porušení smluvních povinností ze strany objednatele, tj.:</w:t>
      </w:r>
    </w:p>
    <w:p w:rsidR="001D2DE3" w:rsidRDefault="005A3D18">
      <w:pPr>
        <w:spacing w:after="40"/>
        <w:ind w:left="370"/>
      </w:pPr>
      <w:r>
        <w:rPr>
          <w:rFonts w:ascii="Segoe UI Symbol" w:eastAsia="Segoe UI Symbol" w:hAnsi="Segoe UI Symbol" w:cs="Segoe UI Symbol"/>
        </w:rPr>
        <w:t>⦁</w:t>
      </w:r>
      <w:r>
        <w:rPr>
          <w:rFonts w:ascii="Segoe UI Symbol" w:eastAsia="Segoe UI Symbol" w:hAnsi="Segoe UI Symbol" w:cs="Segoe UI Symbol"/>
        </w:rPr>
        <w:t xml:space="preserve"> </w:t>
      </w:r>
      <w:r>
        <w:t>objednatel je v prodlení s úhradou za plnění poskytovatele z předmětné servisní smlouvy, popřípadě za plnění poskytovatele dle jiné smlouvy, sjednané mezi poskytovatelem a objednatelem, a to více než o 30 dnů po dni splatnosti;</w:t>
      </w:r>
    </w:p>
    <w:p w:rsidR="001D2DE3" w:rsidRDefault="005A3D18">
      <w:pPr>
        <w:ind w:left="370"/>
      </w:pPr>
      <w:r>
        <w:rPr>
          <w:rFonts w:ascii="Segoe UI Symbol" w:eastAsia="Segoe UI Symbol" w:hAnsi="Segoe UI Symbol" w:cs="Segoe UI Symbol"/>
        </w:rPr>
        <w:t>⦁</w:t>
      </w:r>
      <w:r>
        <w:rPr>
          <w:rFonts w:ascii="Segoe UI Symbol" w:eastAsia="Segoe UI Symbol" w:hAnsi="Segoe UI Symbol" w:cs="Segoe UI Symbol"/>
        </w:rPr>
        <w:t xml:space="preserve"> </w:t>
      </w:r>
      <w:r>
        <w:t>s produktem je neoprávněně</w:t>
      </w:r>
      <w:r>
        <w:t xml:space="preserve"> manipulováno (např. instalace produktu nebyla provedena v souladu s návodem k montáži, obsluha produktu závažně porušuje návod k obsluze produktu, došlo k poškození produktu třetí osobou apod.).  </w:t>
      </w:r>
    </w:p>
    <w:p w:rsidR="001D2DE3" w:rsidRDefault="005A3D18">
      <w:pPr>
        <w:spacing w:after="25"/>
        <w:ind w:left="-5"/>
      </w:pPr>
      <w:r>
        <w:t>10.3 Objednatel může od servisní smlouvy odstoupit písemný</w:t>
      </w:r>
      <w:r>
        <w:t>m oznámením poskytovateli, jestliže dojde k podstatnému porušení smluvních povinností ze strany poskytovatele, tj.:</w:t>
      </w:r>
    </w:p>
    <w:p w:rsidR="001D2DE3" w:rsidRDefault="005A3D18">
      <w:pPr>
        <w:spacing w:after="9"/>
        <w:ind w:left="370"/>
      </w:pPr>
      <w:r>
        <w:rPr>
          <w:rFonts w:ascii="Segoe UI Symbol" w:eastAsia="Segoe UI Symbol" w:hAnsi="Segoe UI Symbol" w:cs="Segoe UI Symbol"/>
        </w:rPr>
        <w:t>⦁</w:t>
      </w:r>
      <w:r>
        <w:rPr>
          <w:rFonts w:ascii="Segoe UI Symbol" w:eastAsia="Segoe UI Symbol" w:hAnsi="Segoe UI Symbol" w:cs="Segoe UI Symbol"/>
        </w:rPr>
        <w:t xml:space="preserve"> </w:t>
      </w:r>
      <w:r>
        <w:t>poskytovatel nesplní své povinnosti uvedené v čl. XI. této smlouvy;</w:t>
      </w:r>
    </w:p>
    <w:p w:rsidR="001D2DE3" w:rsidRDefault="005A3D18">
      <w:pPr>
        <w:ind w:left="-15" w:right="3186" w:firstLine="360"/>
      </w:pPr>
      <w:r>
        <w:rPr>
          <w:rFonts w:ascii="Segoe UI Symbol" w:eastAsia="Segoe UI Symbol" w:hAnsi="Segoe UI Symbol" w:cs="Segoe UI Symbol"/>
        </w:rPr>
        <w:t>⦁</w:t>
      </w:r>
      <w:r>
        <w:rPr>
          <w:rFonts w:ascii="Segoe UI Symbol" w:eastAsia="Segoe UI Symbol" w:hAnsi="Segoe UI Symbol" w:cs="Segoe UI Symbol"/>
        </w:rPr>
        <w:t xml:space="preserve"> </w:t>
      </w:r>
      <w:r>
        <w:t>poskytovatel nesplní svou povinnost uvedenou v čl. VIII. této smlouv</w:t>
      </w:r>
      <w:r>
        <w:t>y; v případě podstatného porušení smluvních povinností poskytovatelem</w:t>
      </w:r>
    </w:p>
    <w:p w:rsidR="001D2DE3" w:rsidRDefault="005A3D18">
      <w:pPr>
        <w:ind w:left="-5"/>
      </w:pPr>
      <w:r>
        <w:t xml:space="preserve">10.4 Odstoupení od servisní </w:t>
      </w:r>
      <w:proofErr w:type="gramStart"/>
      <w:r>
        <w:t>smlouvy  musí</w:t>
      </w:r>
      <w:proofErr w:type="gramEnd"/>
      <w:r>
        <w:t xml:space="preserve"> být učiněno písemnou formou. Odstoupení od smlouvy musí být zasláno doporučeným dopisem s doručenkou, nebo musí být doručeno osobně. V případě, </w:t>
      </w:r>
      <w:r>
        <w:t>že dopis s odstoupením od smlouvy dle věty předchozí nebude v sídle smluvní strany převzat od poštovního doručovatele a dotčená smluvní strana si zásilku následně nevyžádá z příslušné pošty, považuje se poslední den k vyzvednutí předmětné zásilky za den do</w:t>
      </w:r>
      <w:r>
        <w:t xml:space="preserve">ručení. </w:t>
      </w:r>
    </w:p>
    <w:p w:rsidR="001D2DE3" w:rsidRDefault="005A3D18">
      <w:pPr>
        <w:ind w:left="-5"/>
      </w:pPr>
      <w:r>
        <w:t>10.5 Objednatel i poskytovatel jsou oprávněni ukončit servisní smlouvu výpovědí s 2 měsíční výpovědní lhůtou, která počíná běžet prvního dne měsíce následujícího po doručení výpovědi. Výpověď objednatele před uplynutím jednoho roku od účinnosti se</w:t>
      </w:r>
      <w:r>
        <w:t xml:space="preserve">rvisní smlouvy je považována za předčasné ukončení smlouvy a je přípustná pouze v případě úhrady úplaty za předčasné ukončení podle tohoto odstavce. Pokud od účinnosti servisní smlouvy neuplynulo 10 měsíců je objednatel oprávněn vypovědět servisní smlouvu </w:t>
      </w:r>
      <w:r>
        <w:t>pouze za podmínky, že nejpozději spolu s doručením výpovědi uhradí poskytovateli  úplatu za předčasné ukončení servisní smlouvy, která je stanovena jako násobek standardní měsíční ceny servisních služeb účtovaných poskytovatelem podle článku 11.2 a 11.3 té</w:t>
      </w:r>
      <w:r>
        <w:t>to smlouvy (monitoring nebo monitoring a vzdálený dohled) a počtu kalendářních měsíců zbývajících do uplynutí jednoho roku od její účinnosti.</w:t>
      </w:r>
    </w:p>
    <w:p w:rsidR="001D2DE3" w:rsidRDefault="005A3D18">
      <w:pPr>
        <w:pStyle w:val="Nadpis1"/>
        <w:ind w:left="16" w:right="2"/>
      </w:pPr>
      <w:r>
        <w:t>XI. SPECIFIKACE A CENA POSKYTOVANÝCH SLUŽEB</w:t>
      </w:r>
    </w:p>
    <w:p w:rsidR="001D2DE3" w:rsidRDefault="005A3D18">
      <w:pPr>
        <w:pStyle w:val="Nadpis2"/>
        <w:ind w:left="-5"/>
      </w:pPr>
      <w:r>
        <w:t>11.1 Pravidelná roční prohlídka</w:t>
      </w:r>
    </w:p>
    <w:p w:rsidR="001D2DE3" w:rsidRDefault="005A3D18">
      <w:pPr>
        <w:spacing w:after="0"/>
        <w:ind w:left="-5" w:right="198"/>
      </w:pPr>
      <w:r>
        <w:t>11.1.1 Při pravidelné prohlídce, vychá</w:t>
      </w:r>
      <w:r>
        <w:t>zející dle zákona č. 458/2000 Sb., § 62, odst. 2, písm. G) a dle ČSN 386405, čl. 28, jsou prováděny tyto měření a zkoušky plynového zařízení: a) kontrola plynotěsnosti;</w:t>
      </w:r>
    </w:p>
    <w:p w:rsidR="001D2DE3" w:rsidRDefault="005A3D18">
      <w:pPr>
        <w:numPr>
          <w:ilvl w:val="0"/>
          <w:numId w:val="4"/>
        </w:numPr>
        <w:spacing w:after="9"/>
        <w:ind w:hanging="211"/>
      </w:pPr>
      <w:r>
        <w:t>seřízení spalování;</w:t>
      </w:r>
    </w:p>
    <w:p w:rsidR="001D2DE3" w:rsidRDefault="005A3D18">
      <w:pPr>
        <w:numPr>
          <w:ilvl w:val="0"/>
          <w:numId w:val="4"/>
        </w:numPr>
        <w:spacing w:after="9"/>
        <w:ind w:hanging="211"/>
      </w:pPr>
      <w:r>
        <w:t>kontrola pojistného ventilu a těsnosti;</w:t>
      </w:r>
    </w:p>
    <w:p w:rsidR="001D2DE3" w:rsidRDefault="005A3D18">
      <w:pPr>
        <w:numPr>
          <w:ilvl w:val="0"/>
          <w:numId w:val="4"/>
        </w:numPr>
        <w:spacing w:after="9"/>
        <w:ind w:hanging="211"/>
      </w:pPr>
      <w:r>
        <w:t>kontrola bezpečnostních prv</w:t>
      </w:r>
      <w:r>
        <w:t>ků;</w:t>
      </w:r>
    </w:p>
    <w:p w:rsidR="001D2DE3" w:rsidRDefault="005A3D18">
      <w:pPr>
        <w:numPr>
          <w:ilvl w:val="0"/>
          <w:numId w:val="4"/>
        </w:numPr>
        <w:spacing w:after="9"/>
        <w:ind w:hanging="211"/>
      </w:pPr>
      <w:r>
        <w:t>kontrola, případně výměna hydraulického oleje a řemenů hydraulického čerpadla;</w:t>
      </w:r>
    </w:p>
    <w:p w:rsidR="001D2DE3" w:rsidRDefault="005A3D18">
      <w:pPr>
        <w:numPr>
          <w:ilvl w:val="0"/>
          <w:numId w:val="4"/>
        </w:numPr>
        <w:spacing w:after="9"/>
        <w:ind w:hanging="211"/>
      </w:pPr>
      <w:r>
        <w:t>kontrola snímače průtoku vody;</w:t>
      </w:r>
    </w:p>
    <w:p w:rsidR="001D2DE3" w:rsidRDefault="005A3D18">
      <w:pPr>
        <w:numPr>
          <w:ilvl w:val="0"/>
          <w:numId w:val="4"/>
        </w:numPr>
        <w:spacing w:after="9"/>
        <w:ind w:hanging="211"/>
      </w:pPr>
      <w:r>
        <w:t>kontrola funkce řídící automatiky a deblokace poruchy;</w:t>
      </w:r>
    </w:p>
    <w:p w:rsidR="001D2DE3" w:rsidRDefault="005A3D18">
      <w:pPr>
        <w:numPr>
          <w:ilvl w:val="0"/>
          <w:numId w:val="4"/>
        </w:numPr>
        <w:spacing w:after="9"/>
        <w:ind w:hanging="211"/>
      </w:pPr>
      <w:r>
        <w:t>kontrola bezpečnostní funkce pojistky plamene;</w:t>
      </w:r>
    </w:p>
    <w:p w:rsidR="001D2DE3" w:rsidRDefault="005A3D18">
      <w:pPr>
        <w:numPr>
          <w:ilvl w:val="0"/>
          <w:numId w:val="4"/>
        </w:numPr>
        <w:spacing w:after="9"/>
        <w:ind w:hanging="211"/>
      </w:pPr>
      <w:r>
        <w:t>kontrola vstupního tlaku plynu do jednotky;</w:t>
      </w:r>
    </w:p>
    <w:p w:rsidR="001D2DE3" w:rsidRDefault="005A3D18">
      <w:pPr>
        <w:numPr>
          <w:ilvl w:val="0"/>
          <w:numId w:val="4"/>
        </w:numPr>
        <w:spacing w:after="9"/>
        <w:ind w:hanging="211"/>
      </w:pPr>
      <w:r>
        <w:t>seřízení vstupního tlaku plynu na hořáku;</w:t>
      </w:r>
    </w:p>
    <w:p w:rsidR="001D2DE3" w:rsidRDefault="005A3D18">
      <w:pPr>
        <w:numPr>
          <w:ilvl w:val="0"/>
          <w:numId w:val="4"/>
        </w:numPr>
        <w:spacing w:after="9"/>
        <w:ind w:hanging="211"/>
      </w:pPr>
      <w:r>
        <w:t>celková zkouška funkce ovladatelnosti jednotky;</w:t>
      </w:r>
    </w:p>
    <w:p w:rsidR="001D2DE3" w:rsidRDefault="005A3D18">
      <w:pPr>
        <w:numPr>
          <w:ilvl w:val="0"/>
          <w:numId w:val="4"/>
        </w:numPr>
        <w:ind w:hanging="211"/>
      </w:pPr>
      <w:r>
        <w:t>analýza spalování.</w:t>
      </w:r>
    </w:p>
    <w:p w:rsidR="001D2DE3" w:rsidRDefault="005A3D18">
      <w:pPr>
        <w:ind w:left="-5"/>
      </w:pPr>
      <w:r>
        <w:t xml:space="preserve">11.1.2 </w:t>
      </w:r>
      <w:r>
        <w:t xml:space="preserve">Během pravidelné prohlídky je možné zaškolit nové pracovníky obsluhy. Provozovatel obdrží protokol o prohlídce se všemi zjištěnými a odstraněnými závadami. </w:t>
      </w:r>
    </w:p>
    <w:p w:rsidR="001D2DE3" w:rsidRDefault="005A3D18">
      <w:pPr>
        <w:ind w:left="-5"/>
      </w:pPr>
      <w:r>
        <w:t>11.1.3 Pravidelná prohlídka dle této smlouvy se provádí v období od začátku května do konce září př</w:t>
      </w:r>
      <w:r>
        <w:t>íslušného kalendářního roku. Přesný termín provedení pravidelné prohlídky navrhne poskytovatel a oznámí jej objednateli v dostatečném časovém předstihu, minimálně ve lhůtě 5 pracovních dnů před zamýšleným dnem. Pokud objednatel odůvodněně trvá na jiném ter</w:t>
      </w:r>
      <w:r>
        <w:t>mínu provedení pravidelné prohlídky, bude náhradní termín stanoven dohodou.</w:t>
      </w:r>
    </w:p>
    <w:p w:rsidR="001D2DE3" w:rsidRDefault="005A3D18">
      <w:pPr>
        <w:pStyle w:val="Nadpis3"/>
        <w:ind w:left="-5" w:right="5681"/>
      </w:pPr>
      <w:r>
        <w:rPr>
          <w:b w:val="0"/>
        </w:rPr>
        <w:t xml:space="preserve">11.1.4 Cena za pravidelnou prohlídku </w:t>
      </w:r>
      <w:r>
        <w:t>Tepelné čerpadlo GAHP Kč 2958,- za kus</w:t>
      </w:r>
    </w:p>
    <w:p w:rsidR="001D2DE3" w:rsidRDefault="005A3D18">
      <w:pPr>
        <w:ind w:left="-5"/>
      </w:pPr>
      <w:r>
        <w:rPr>
          <w:b/>
        </w:rPr>
        <w:t xml:space="preserve">Paušální částka za náklady prohlídky Kč 1.660,- </w:t>
      </w:r>
      <w:r>
        <w:t xml:space="preserve">(obsahuje: dopravu, vystavení protokolu, zaškolení nové </w:t>
      </w:r>
      <w:proofErr w:type="gramStart"/>
      <w:r>
        <w:t>obsluhy,</w:t>
      </w:r>
      <w:proofErr w:type="gramEnd"/>
      <w:r>
        <w:t xml:space="preserve"> atd.)</w:t>
      </w:r>
    </w:p>
    <w:p w:rsidR="001D2DE3" w:rsidRDefault="005A3D18">
      <w:pPr>
        <w:ind w:left="-5"/>
      </w:pPr>
      <w:r>
        <w:lastRenderedPageBreak/>
        <w:t>11.1.5 Úhrada za pravidelnou prohlídku bude prováděna 1x ročně, vždy po provedení pravidelné prohlídky na základě faktury vystavené poskytovatelem, přičemž k ceně bude účtována DPH dle platných předpisů</w:t>
      </w:r>
    </w:p>
    <w:p w:rsidR="001D2DE3" w:rsidRDefault="005A3D18">
      <w:pPr>
        <w:pStyle w:val="Nadpis2"/>
        <w:ind w:left="-5"/>
      </w:pPr>
      <w:r>
        <w:t>11.2. Monitoring provozu</w:t>
      </w:r>
    </w:p>
    <w:p w:rsidR="001D2DE3" w:rsidRDefault="005A3D18">
      <w:pPr>
        <w:ind w:left="-5"/>
      </w:pPr>
      <w:r>
        <w:t>Monitoring pr</w:t>
      </w:r>
      <w:r>
        <w:t>ovozu zavazuje poskytovatele vlastními prostředky realizovat příjem a ukládání informací o provozním stavu produktu a provozních hlášeních.</w:t>
      </w:r>
    </w:p>
    <w:p w:rsidR="001D2DE3" w:rsidRDefault="005A3D18">
      <w:pPr>
        <w:spacing w:after="173"/>
        <w:ind w:left="-5"/>
      </w:pPr>
      <w:r>
        <w:t>11.2.1 Po dohodě objednatele s poskytovatelem je možné zpřístupnit objednateli náhled na instalaci jednotek, který u</w:t>
      </w:r>
      <w:r>
        <w:t>možňuje provozovateli kdykoli se podívat, které jednotky jsou v provozu, které nejsou v provozu, popř. které mají poruchu;</w:t>
      </w:r>
    </w:p>
    <w:p w:rsidR="001D2DE3" w:rsidRDefault="005A3D18">
      <w:pPr>
        <w:ind w:left="-5"/>
      </w:pPr>
      <w:r>
        <w:t>11.2.2 Objednatel sdělí poskytovateli kontaktní e-mail, na který bude poskytovatel zasílat zprávu o provozních stavech produktu v pra</w:t>
      </w:r>
      <w:r>
        <w:t xml:space="preserve">videlných intervalech. Interval, ve kterém budou zprávy zasílány a kontaktní e-mail pro jejich zasílání, budou uvedeny v protokolu o zprovoznění služby. Objednatel odpovídá za aktualizaci těchto údajů, pokud dojde k jejich změně. </w:t>
      </w:r>
    </w:p>
    <w:p w:rsidR="001D2DE3" w:rsidRDefault="005A3D18">
      <w:pPr>
        <w:spacing w:after="13"/>
        <w:ind w:left="-5"/>
      </w:pPr>
      <w:r>
        <w:t>11.2.3 Cena za monitoring</w:t>
      </w:r>
      <w:r>
        <w:t xml:space="preserve"> provozu</w:t>
      </w:r>
    </w:p>
    <w:p w:rsidR="001D2DE3" w:rsidRDefault="005A3D18">
      <w:pPr>
        <w:pStyle w:val="Nadpis1"/>
        <w:spacing w:after="0" w:line="258" w:lineRule="auto"/>
        <w:ind w:left="-5"/>
        <w:jc w:val="left"/>
      </w:pPr>
      <w:r>
        <w:t>Tepelné čerpadlo GAHP Kč 145,- za kus/měsíc</w:t>
      </w:r>
    </w:p>
    <w:p w:rsidR="001D2DE3" w:rsidRDefault="005A3D18">
      <w:pPr>
        <w:ind w:left="-5"/>
      </w:pPr>
      <w:r>
        <w:rPr>
          <w:b/>
        </w:rPr>
        <w:t xml:space="preserve">Paušální částka za náklady monitoringu Kč 197,- </w:t>
      </w:r>
      <w:r>
        <w:t>(obsahuje: poplatek za datové přenosy, provoz a správu serveru a softwaru pro ukládání dat)</w:t>
      </w:r>
    </w:p>
    <w:p w:rsidR="001D2DE3" w:rsidRDefault="005A3D18">
      <w:pPr>
        <w:ind w:left="-5"/>
      </w:pPr>
      <w:r>
        <w:t>11.2.4 Úhrada za monitoring provozu bude prováděna měsíčně, vžd</w:t>
      </w:r>
      <w:r>
        <w:t>y na základě faktury vystavené poskytovatelem, přičemž k ceně bude účtována DPH dle platných předpisů.</w:t>
      </w:r>
    </w:p>
    <w:p w:rsidR="001D2DE3" w:rsidRDefault="005A3D18">
      <w:pPr>
        <w:pStyle w:val="Nadpis2"/>
        <w:ind w:left="-5"/>
      </w:pPr>
      <w:r>
        <w:t xml:space="preserve">11.3 Trvalý dohled </w:t>
      </w:r>
    </w:p>
    <w:p w:rsidR="001D2DE3" w:rsidRDefault="005A3D18">
      <w:pPr>
        <w:spacing w:after="0"/>
        <w:ind w:left="-5"/>
      </w:pPr>
      <w:r>
        <w:t>Trvalý dohled zavazuje poskytovatele vlastními prostředky realizovat vzdálené informování svého servisního dispečinku o poruchových s</w:t>
      </w:r>
      <w:r>
        <w:t xml:space="preserve">tavech </w:t>
      </w:r>
      <w:proofErr w:type="gramStart"/>
      <w:r>
        <w:t>produktu</w:t>
      </w:r>
      <w:proofErr w:type="gramEnd"/>
      <w:r>
        <w:t xml:space="preserve"> a tak umožňuje okamžitou kvalifikovanou pomoc s řešením případných funkčních poruch prostřednictvím obsluhy a poruchové služby objednatele, případně výjezdu servisního technika poskytovatele.</w:t>
      </w:r>
    </w:p>
    <w:p w:rsidR="001D2DE3" w:rsidRDefault="005A3D18">
      <w:pPr>
        <w:ind w:left="-5"/>
      </w:pPr>
      <w:r>
        <w:t>Objednatel sdělí poskytovateli pro případ poruch</w:t>
      </w:r>
      <w:r>
        <w:t>y kontaktní osobu obsluhy hlavní a náhradní, pokud by osoba hlavní nebyla k zastižení.  Kontaktní údaje (jméno, mobilní telefon, e-mail) budou uvedeny v protokolu o zprovoznění služby. Objednatel odpovídá za aktualizaci těchto údajů, pokud dojde k jejich z</w:t>
      </w:r>
      <w:r>
        <w:t xml:space="preserve">měně, jakož i za proškolení kontaktních osob obsluhy o skutečnosti, že v případě, kdy tyto osoby nebudou pro poskytovatele dosažitelné na mobilním telefonu a nebudou moci bez odkladu provést požadovanou </w:t>
      </w:r>
      <w:proofErr w:type="gramStart"/>
      <w:r>
        <w:t>součinnost  (</w:t>
      </w:r>
      <w:proofErr w:type="gramEnd"/>
      <w:r>
        <w:t>ve smyslu ustanovení článku 8.3 této sml</w:t>
      </w:r>
      <w:r>
        <w:t>ouvy), nemůže poskytovatel garantovat servisní zásah k odstranění závady ve lhůtách uvedených v článku 8.2 této smlouvy.</w:t>
      </w:r>
    </w:p>
    <w:p w:rsidR="001D2DE3" w:rsidRDefault="005A3D18">
      <w:pPr>
        <w:ind w:left="-5"/>
      </w:pPr>
      <w:r>
        <w:t>11.3.1 Služba servisního dispečinku a odborné pomoci bude poskytována nepřetržitě i mimo pracovní hodiny, o víkendech a státních svátcí</w:t>
      </w:r>
      <w:r>
        <w:t>ch. Pokud servisní dispečink nezastihne kontaktní osobu na mobilním telefonu, zašle textovou zprávu (SMS) nebo e-mailovou zprávu na kontaktní údaje z protokolu o zprovoznění služby. Tímto je povinnost informování obsluhy nebo poruchové služby objednatele p</w:t>
      </w:r>
      <w:r>
        <w:t>ovažována za splněnou.</w:t>
      </w:r>
    </w:p>
    <w:p w:rsidR="001D2DE3" w:rsidRDefault="005A3D18">
      <w:pPr>
        <w:spacing w:after="13"/>
        <w:ind w:left="-5"/>
      </w:pPr>
      <w:r>
        <w:t>11.3.2 Cena za trvalý dohled</w:t>
      </w:r>
    </w:p>
    <w:p w:rsidR="001D2DE3" w:rsidRDefault="005A3D18">
      <w:pPr>
        <w:pStyle w:val="Nadpis1"/>
        <w:spacing w:after="198" w:line="258" w:lineRule="auto"/>
        <w:ind w:left="-5"/>
        <w:jc w:val="left"/>
      </w:pPr>
      <w:r>
        <w:t xml:space="preserve">Tepelné čerpadlo GAHP Kč 174,- za kus/měsíc </w:t>
      </w:r>
    </w:p>
    <w:p w:rsidR="001D2DE3" w:rsidRDefault="005A3D18">
      <w:pPr>
        <w:ind w:left="-5"/>
      </w:pPr>
      <w:r>
        <w:t xml:space="preserve">11.3.3 </w:t>
      </w:r>
      <w:r>
        <w:t>Úhrada za trvalý dohled bude prováděna měsíčně, vždy na základě faktury vystavené poskytovatelem, přičemž k ceně bude účtována DPH dle platných předpisů.</w:t>
      </w:r>
    </w:p>
    <w:p w:rsidR="001D2DE3" w:rsidRDefault="005A3D18">
      <w:pPr>
        <w:pStyle w:val="Nadpis2"/>
        <w:ind w:left="-5"/>
      </w:pPr>
      <w:r>
        <w:rPr>
          <w:b w:val="0"/>
        </w:rPr>
        <w:t xml:space="preserve">11.4 </w:t>
      </w:r>
      <w:r>
        <w:t>Automatické přerušení služeb</w:t>
      </w:r>
    </w:p>
    <w:p w:rsidR="001D2DE3" w:rsidRDefault="005A3D18">
      <w:pPr>
        <w:ind w:left="-5"/>
      </w:pPr>
      <w:r>
        <w:t>Pokud objednatel neprovozuje produkty v letním období, je možné doho</w:t>
      </w:r>
      <w:r>
        <w:t>dnout s poskytovatelem automatické přerušení služeb v období od 1.6. do 31.</w:t>
      </w:r>
      <w:proofErr w:type="gramStart"/>
      <w:r>
        <w:t>8..</w:t>
      </w:r>
      <w:proofErr w:type="gramEnd"/>
      <w:r>
        <w:t xml:space="preserve"> Dohodnuto automatické přerušení služeb v uvedeném období.</w:t>
      </w:r>
    </w:p>
    <w:p w:rsidR="001D2DE3" w:rsidRDefault="005A3D18">
      <w:pPr>
        <w:ind w:left="-5"/>
      </w:pPr>
      <w:r>
        <w:t xml:space="preserve">11.4.1 </w:t>
      </w:r>
      <w:r>
        <w:rPr>
          <w:b/>
        </w:rPr>
        <w:t xml:space="preserve">Cena za automatické přerušení služeb Kč 249,-. </w:t>
      </w:r>
      <w:r>
        <w:t>Po uplynutí období přerušení budou služby znovu obnoveny bez popl</w:t>
      </w:r>
      <w:r>
        <w:t>atku.</w:t>
      </w:r>
    </w:p>
    <w:p w:rsidR="001D2DE3" w:rsidRDefault="005A3D18">
      <w:pPr>
        <w:ind w:left="-5"/>
      </w:pPr>
      <w:r>
        <w:t>11.4.2 Úhrada za automatické přerušení služeb bude prováděna jednorázově, vždy po provedení přerušení služeb na základě faktury vystavené poskytovatelem, přičemž k ceně bude účtována DPH dle platných předpisů.</w:t>
      </w:r>
    </w:p>
    <w:p w:rsidR="001D2DE3" w:rsidRDefault="005A3D18">
      <w:pPr>
        <w:pStyle w:val="Nadpis2"/>
        <w:ind w:left="-5"/>
      </w:pPr>
      <w:r>
        <w:rPr>
          <w:b w:val="0"/>
        </w:rPr>
        <w:t xml:space="preserve">11.5. </w:t>
      </w:r>
      <w:r>
        <w:t>Prodloužení záruční doby</w:t>
      </w:r>
    </w:p>
    <w:p w:rsidR="001D2DE3" w:rsidRDefault="005A3D18">
      <w:pPr>
        <w:ind w:left="-5"/>
      </w:pPr>
      <w:r>
        <w:t>11. 5.1 V</w:t>
      </w:r>
      <w:r>
        <w:t xml:space="preserve"> důsledku sjednání poskytovaných služeb v </w:t>
      </w:r>
      <w:proofErr w:type="gramStart"/>
      <w:r>
        <w:t>rozsahu  11.2</w:t>
      </w:r>
      <w:proofErr w:type="gramEnd"/>
      <w:r>
        <w:t xml:space="preserve"> Monitoring provozu  či  anebo   11.2 Monitoring provozu  a  11.3 Trvalý dohled  poskytovatel tímto jako dodavatel produktů uvedených v článku III. této smlouvy prodlužuje standardní záruční dobu (2 ro</w:t>
      </w:r>
      <w:r>
        <w:t xml:space="preserve">ky) na v článku III. této smlouvy </w:t>
      </w:r>
      <w:proofErr w:type="spellStart"/>
      <w:r>
        <w:t>uvedné</w:t>
      </w:r>
      <w:proofErr w:type="spellEnd"/>
      <w:r>
        <w:t xml:space="preserve"> produkty na 5 let od data uvedení do </w:t>
      </w:r>
      <w:r>
        <w:lastRenderedPageBreak/>
        <w:t>provozu. Prodloužení záruční doby je rovněž podmíněno, tím, že objednatel nebude produkty používat v období automatického přerušení služeb dle čl. 11.4 této smlouvy. Pokud objedn</w:t>
      </w:r>
      <w:r>
        <w:t>atel bude produkty používat v období automatického přerušení služeb má poskytovatel právo odmítnout prodloužení záruční doby.</w:t>
      </w:r>
    </w:p>
    <w:p w:rsidR="001D2DE3" w:rsidRDefault="005A3D18">
      <w:pPr>
        <w:pStyle w:val="Nadpis1"/>
        <w:ind w:left="16" w:right="2"/>
      </w:pPr>
      <w:r>
        <w:t>XII. ZÁVĚREČNÁ USTANOVENÍ</w:t>
      </w:r>
    </w:p>
    <w:p w:rsidR="001D2DE3" w:rsidRDefault="005A3D18">
      <w:pPr>
        <w:ind w:left="-5"/>
      </w:pPr>
      <w:r>
        <w:t>12.1 Tuto smlouvu je možné měnit a doplňovat pouze formou písemných dodatků, přičemž v úvodu dodatku bud</w:t>
      </w:r>
      <w:r>
        <w:t>e uvedeno číslo dodatku a datum jeho platnosti a účinnosti. Veškeré přílohy a dodatky této smlouvy, podepsané oběma smluvními stranami, tvoří neoddělitelnou součást této smlouvy.</w:t>
      </w:r>
    </w:p>
    <w:p w:rsidR="001D2DE3" w:rsidRDefault="005A3D18">
      <w:pPr>
        <w:ind w:left="-5"/>
      </w:pPr>
      <w:r>
        <w:t>12.2 Tato smlouva se řídí českým právem, zejména zákonem č. 89/2012 Sb., obča</w:t>
      </w:r>
      <w:r>
        <w:t xml:space="preserve">nský zákoník. </w:t>
      </w:r>
    </w:p>
    <w:p w:rsidR="001D2DE3" w:rsidRDefault="005A3D18">
      <w:pPr>
        <w:ind w:left="-5"/>
      </w:pPr>
      <w:r>
        <w:t>12.3 V případě, že se některé z ustanovení této smlouvy stane v budoucnosti neplatné nebo neúčinné, zavazují se strany nahradit je takovou platnou úpravou, která v co nejvyšší míře zachová hospodářský účel, zamýšlený neplatným nebo neúčinným</w:t>
      </w:r>
      <w:r>
        <w:t xml:space="preserve"> ustanovením.</w:t>
      </w:r>
    </w:p>
    <w:p w:rsidR="001D2DE3" w:rsidRDefault="005A3D18">
      <w:pPr>
        <w:ind w:left="-5"/>
      </w:pPr>
      <w:r>
        <w:t>12.4 Tato smlouva byla sepsána ve dvou stejnopisech, z nichž každá ze smluvních stran obdrží po jednom vyhotovení.</w:t>
      </w:r>
    </w:p>
    <w:p w:rsidR="001D2DE3" w:rsidRDefault="005A3D18">
      <w:pPr>
        <w:ind w:left="-5"/>
      </w:pPr>
      <w:r>
        <w:t>12.5 Smluvní strany prohlašují, že jsou zcela způsobilé k právním úkonům, že si tuto smlouvu přečetly a že tato smlouva tak, ja</w:t>
      </w:r>
      <w:r>
        <w:t>k byla sepsána, odpovídá jejich pravé vůli, kterou si vzájemně projevily vážně, srozumitelně a zcela svobodně, a na důkaz toho připojují své podpisy.</w:t>
      </w:r>
    </w:p>
    <w:p w:rsidR="001D2DE3" w:rsidRDefault="005A3D18">
      <w:pPr>
        <w:ind w:left="-5"/>
      </w:pPr>
      <w:r>
        <w:t xml:space="preserve">12.6. Poskytovatel bere na vědomí, že </w:t>
      </w:r>
      <w:r>
        <w:rPr>
          <w:b/>
        </w:rPr>
        <w:t xml:space="preserve">Servisní smlouva prohlídky a dohledové služby (GAHP) </w:t>
      </w:r>
      <w:r>
        <w:t>bude objednatel</w:t>
      </w:r>
      <w:r>
        <w:t>em zveřejněna v registru smluv.</w:t>
      </w:r>
    </w:p>
    <w:p w:rsidR="001D2DE3" w:rsidRDefault="005A3D18">
      <w:pPr>
        <w:spacing w:after="0" w:line="259" w:lineRule="auto"/>
        <w:ind w:left="0" w:firstLine="0"/>
      </w:pPr>
      <w:r>
        <w:t xml:space="preserve">  </w:t>
      </w:r>
    </w:p>
    <w:p w:rsidR="001D2DE3" w:rsidRDefault="005A3D18">
      <w:pPr>
        <w:pStyle w:val="Nadpis1"/>
        <w:spacing w:after="579"/>
        <w:ind w:left="16" w:right="1"/>
      </w:pPr>
      <w:r>
        <w:t>XIII. SEZNAM PRODUKTŮ</w:t>
      </w:r>
    </w:p>
    <w:tbl>
      <w:tblPr>
        <w:tblStyle w:val="TableGrid"/>
        <w:tblW w:w="6766" w:type="dxa"/>
        <w:tblInd w:w="109" w:type="dxa"/>
        <w:tblCellMar>
          <w:top w:w="0" w:type="dxa"/>
          <w:left w:w="0" w:type="dxa"/>
          <w:bottom w:w="0" w:type="dxa"/>
          <w:right w:w="0" w:type="dxa"/>
        </w:tblCellMar>
        <w:tblLook w:val="04A0" w:firstRow="1" w:lastRow="0" w:firstColumn="1" w:lastColumn="0" w:noHBand="0" w:noVBand="1"/>
      </w:tblPr>
      <w:tblGrid>
        <w:gridCol w:w="5794"/>
        <w:gridCol w:w="972"/>
      </w:tblGrid>
      <w:tr w:rsidR="001D2DE3">
        <w:trPr>
          <w:trHeight w:val="231"/>
        </w:trPr>
        <w:tc>
          <w:tcPr>
            <w:tcW w:w="5798" w:type="dxa"/>
            <w:tcBorders>
              <w:top w:val="nil"/>
              <w:left w:val="nil"/>
              <w:bottom w:val="nil"/>
              <w:right w:val="nil"/>
            </w:tcBorders>
          </w:tcPr>
          <w:p w:rsidR="001D2DE3" w:rsidRDefault="005A3D18">
            <w:pPr>
              <w:spacing w:after="0" w:line="259" w:lineRule="auto"/>
              <w:ind w:left="0" w:firstLine="0"/>
            </w:pPr>
            <w:r>
              <w:rPr>
                <w:sz w:val="16"/>
              </w:rPr>
              <w:t>Položka:</w:t>
            </w:r>
          </w:p>
        </w:tc>
        <w:tc>
          <w:tcPr>
            <w:tcW w:w="968" w:type="dxa"/>
            <w:tcBorders>
              <w:top w:val="nil"/>
              <w:left w:val="nil"/>
              <w:bottom w:val="nil"/>
              <w:right w:val="nil"/>
            </w:tcBorders>
          </w:tcPr>
          <w:p w:rsidR="001D2DE3" w:rsidRDefault="005A3D18">
            <w:pPr>
              <w:spacing w:after="0" w:line="259" w:lineRule="auto"/>
              <w:ind w:left="0" w:firstLine="0"/>
              <w:jc w:val="both"/>
            </w:pPr>
            <w:r>
              <w:rPr>
                <w:sz w:val="16"/>
              </w:rPr>
              <w:t>Výrobní číslo:</w:t>
            </w:r>
          </w:p>
        </w:tc>
      </w:tr>
      <w:tr w:rsidR="001D2DE3">
        <w:trPr>
          <w:trHeight w:val="259"/>
        </w:trPr>
        <w:tc>
          <w:tcPr>
            <w:tcW w:w="5798" w:type="dxa"/>
            <w:tcBorders>
              <w:top w:val="nil"/>
              <w:left w:val="nil"/>
              <w:bottom w:val="nil"/>
              <w:right w:val="nil"/>
            </w:tcBorders>
            <w:vAlign w:val="bottom"/>
          </w:tcPr>
          <w:p w:rsidR="001D2DE3" w:rsidRDefault="005A3D18">
            <w:pPr>
              <w:spacing w:after="0" w:line="259" w:lineRule="auto"/>
              <w:ind w:left="2" w:firstLine="0"/>
            </w:pPr>
            <w:r>
              <w:rPr>
                <w:sz w:val="16"/>
              </w:rPr>
              <w:t>Tepelné čerpadlo GAHP-GS HT</w:t>
            </w:r>
          </w:p>
        </w:tc>
        <w:tc>
          <w:tcPr>
            <w:tcW w:w="968" w:type="dxa"/>
            <w:tcBorders>
              <w:top w:val="nil"/>
              <w:left w:val="nil"/>
              <w:bottom w:val="nil"/>
              <w:right w:val="nil"/>
            </w:tcBorders>
          </w:tcPr>
          <w:p w:rsidR="001D2DE3" w:rsidRDefault="005A3D18">
            <w:pPr>
              <w:spacing w:after="0" w:line="259" w:lineRule="auto"/>
              <w:ind w:left="171" w:firstLine="0"/>
            </w:pPr>
            <w:r>
              <w:rPr>
                <w:sz w:val="16"/>
              </w:rPr>
              <w:t>352560014</w:t>
            </w:r>
          </w:p>
        </w:tc>
      </w:tr>
    </w:tbl>
    <w:p w:rsidR="001D2DE3" w:rsidRDefault="005A3D18">
      <w:pPr>
        <w:spacing w:after="27" w:line="259" w:lineRule="auto"/>
        <w:ind w:left="674" w:right="1907" w:hanging="3"/>
      </w:pPr>
      <w:r>
        <w:rPr>
          <w:sz w:val="16"/>
        </w:rPr>
        <w:t xml:space="preserve">Datum </w:t>
      </w:r>
      <w:proofErr w:type="gramStart"/>
      <w:r>
        <w:rPr>
          <w:sz w:val="16"/>
        </w:rPr>
        <w:t>uvedení  zařízení</w:t>
      </w:r>
      <w:proofErr w:type="gramEnd"/>
      <w:r>
        <w:rPr>
          <w:sz w:val="16"/>
        </w:rPr>
        <w:t xml:space="preserve"> provozu: 21.09.2018</w:t>
      </w:r>
    </w:p>
    <w:p w:rsidR="001D2DE3" w:rsidRDefault="005A3D18">
      <w:pPr>
        <w:spacing w:after="0" w:line="259" w:lineRule="auto"/>
        <w:ind w:left="674" w:right="1907" w:hanging="3"/>
      </w:pPr>
      <w:r>
        <w:rPr>
          <w:sz w:val="16"/>
        </w:rPr>
        <w:t xml:space="preserve">Bezplatný servisní zásah včetně případné opravy (dle článku 4.2) do data: 21.09.2023 Umístění: </w:t>
      </w:r>
      <w:proofErr w:type="spellStart"/>
      <w:r>
        <w:rPr>
          <w:sz w:val="16"/>
        </w:rPr>
        <w:t>Černoleská</w:t>
      </w:r>
      <w:proofErr w:type="spellEnd"/>
      <w:r>
        <w:rPr>
          <w:sz w:val="16"/>
        </w:rPr>
        <w:t xml:space="preserve"> 1997, 256 01 Benešov</w:t>
      </w:r>
    </w:p>
    <w:tbl>
      <w:tblPr>
        <w:tblStyle w:val="TableGrid"/>
        <w:tblW w:w="9415" w:type="dxa"/>
        <w:tblInd w:w="-21" w:type="dxa"/>
        <w:tblCellMar>
          <w:top w:w="24" w:type="dxa"/>
          <w:left w:w="0" w:type="dxa"/>
          <w:bottom w:w="0" w:type="dxa"/>
          <w:right w:w="115" w:type="dxa"/>
        </w:tblCellMar>
        <w:tblLook w:val="04A0" w:firstRow="1" w:lastRow="0" w:firstColumn="1" w:lastColumn="0" w:noHBand="0" w:noVBand="1"/>
      </w:tblPr>
      <w:tblGrid>
        <w:gridCol w:w="6099"/>
        <w:gridCol w:w="3316"/>
      </w:tblGrid>
      <w:tr w:rsidR="001D2DE3">
        <w:trPr>
          <w:trHeight w:val="342"/>
        </w:trPr>
        <w:tc>
          <w:tcPr>
            <w:tcW w:w="6099" w:type="dxa"/>
            <w:tcBorders>
              <w:top w:val="nil"/>
              <w:left w:val="nil"/>
              <w:bottom w:val="nil"/>
              <w:right w:val="nil"/>
            </w:tcBorders>
            <w:shd w:val="clear" w:color="auto" w:fill="F2F2F2"/>
          </w:tcPr>
          <w:p w:rsidR="001D2DE3" w:rsidRDefault="005A3D18">
            <w:pPr>
              <w:spacing w:after="0" w:line="259" w:lineRule="auto"/>
              <w:ind w:left="132" w:firstLine="0"/>
            </w:pPr>
            <w:r>
              <w:rPr>
                <w:sz w:val="16"/>
              </w:rPr>
              <w:t>Tepelné čerpadlo GAHP-GS HT</w:t>
            </w:r>
          </w:p>
        </w:tc>
        <w:tc>
          <w:tcPr>
            <w:tcW w:w="3316" w:type="dxa"/>
            <w:tcBorders>
              <w:top w:val="nil"/>
              <w:left w:val="nil"/>
              <w:bottom w:val="nil"/>
              <w:right w:val="nil"/>
            </w:tcBorders>
            <w:shd w:val="clear" w:color="auto" w:fill="F2F2F2"/>
          </w:tcPr>
          <w:p w:rsidR="001D2DE3" w:rsidRDefault="005A3D18">
            <w:pPr>
              <w:spacing w:after="0" w:line="259" w:lineRule="auto"/>
              <w:ind w:left="0" w:firstLine="0"/>
            </w:pPr>
            <w:r>
              <w:rPr>
                <w:sz w:val="16"/>
              </w:rPr>
              <w:t>352560015</w:t>
            </w:r>
          </w:p>
        </w:tc>
      </w:tr>
    </w:tbl>
    <w:p w:rsidR="001D2DE3" w:rsidRDefault="005A3D18">
      <w:pPr>
        <w:spacing w:after="27" w:line="259" w:lineRule="auto"/>
        <w:ind w:left="674" w:right="1907" w:hanging="3"/>
      </w:pPr>
      <w:r>
        <w:rPr>
          <w:sz w:val="16"/>
        </w:rPr>
        <w:t xml:space="preserve">Datum </w:t>
      </w:r>
      <w:proofErr w:type="gramStart"/>
      <w:r>
        <w:rPr>
          <w:sz w:val="16"/>
        </w:rPr>
        <w:t>uvedení  zařízení</w:t>
      </w:r>
      <w:proofErr w:type="gramEnd"/>
      <w:r>
        <w:rPr>
          <w:sz w:val="16"/>
        </w:rPr>
        <w:t xml:space="preserve"> provozu: 24.09.2015</w:t>
      </w:r>
    </w:p>
    <w:p w:rsidR="001D2DE3" w:rsidRDefault="005A3D18">
      <w:pPr>
        <w:spacing w:after="157" w:line="259" w:lineRule="auto"/>
        <w:ind w:left="674" w:right="1907" w:hanging="3"/>
      </w:pPr>
      <w:r>
        <w:rPr>
          <w:sz w:val="16"/>
        </w:rPr>
        <w:t>Bezplatný servisní zásah včetně případné oprav</w:t>
      </w:r>
      <w:r>
        <w:rPr>
          <w:sz w:val="16"/>
        </w:rPr>
        <w:t xml:space="preserve">y (dle článku 4.2) do data: 24.09.2017 Umístění: </w:t>
      </w:r>
      <w:proofErr w:type="spellStart"/>
      <w:r>
        <w:rPr>
          <w:sz w:val="16"/>
        </w:rPr>
        <w:t>Černoleská</w:t>
      </w:r>
      <w:proofErr w:type="spellEnd"/>
      <w:r>
        <w:rPr>
          <w:sz w:val="16"/>
        </w:rPr>
        <w:t xml:space="preserve"> 1997, 256 01 Benešov</w:t>
      </w:r>
    </w:p>
    <w:p w:rsidR="001D2DE3" w:rsidRDefault="005A3D18">
      <w:pPr>
        <w:tabs>
          <w:tab w:val="center" w:pos="6477"/>
        </w:tabs>
        <w:spacing w:after="147" w:line="259" w:lineRule="auto"/>
        <w:ind w:left="0" w:firstLine="0"/>
      </w:pPr>
      <w:r>
        <w:rPr>
          <w:sz w:val="16"/>
        </w:rPr>
        <w:t>Tepelné čerpadlo GAHP-GS HT</w:t>
      </w:r>
      <w:r>
        <w:rPr>
          <w:sz w:val="16"/>
        </w:rPr>
        <w:tab/>
        <w:t>352660005</w:t>
      </w:r>
    </w:p>
    <w:p w:rsidR="001D2DE3" w:rsidRDefault="005A3D18">
      <w:pPr>
        <w:spacing w:after="27" w:line="259" w:lineRule="auto"/>
        <w:ind w:left="674" w:right="1907" w:hanging="3"/>
      </w:pPr>
      <w:r>
        <w:rPr>
          <w:sz w:val="16"/>
        </w:rPr>
        <w:t xml:space="preserve">Datum </w:t>
      </w:r>
      <w:proofErr w:type="gramStart"/>
      <w:r>
        <w:rPr>
          <w:sz w:val="16"/>
        </w:rPr>
        <w:t>uvedení  zařízení</w:t>
      </w:r>
      <w:proofErr w:type="gramEnd"/>
      <w:r>
        <w:rPr>
          <w:sz w:val="16"/>
        </w:rPr>
        <w:t xml:space="preserve"> provozu: 24.09.2015</w:t>
      </w:r>
    </w:p>
    <w:p w:rsidR="001D2DE3" w:rsidRDefault="005A3D18">
      <w:pPr>
        <w:spacing w:after="0" w:line="259" w:lineRule="auto"/>
        <w:ind w:left="674" w:right="1907" w:hanging="3"/>
      </w:pPr>
      <w:r>
        <w:rPr>
          <w:sz w:val="16"/>
        </w:rPr>
        <w:t xml:space="preserve">Bezplatný servisní zásah včetně případné opravy (dle článku 4.2) do data: 24.09.2017 Umístění: </w:t>
      </w:r>
      <w:proofErr w:type="spellStart"/>
      <w:r>
        <w:rPr>
          <w:sz w:val="16"/>
        </w:rPr>
        <w:t>Černoleská</w:t>
      </w:r>
      <w:proofErr w:type="spellEnd"/>
      <w:r>
        <w:rPr>
          <w:sz w:val="16"/>
        </w:rPr>
        <w:t xml:space="preserve"> 1997, 256 01 Benešov</w:t>
      </w:r>
    </w:p>
    <w:tbl>
      <w:tblPr>
        <w:tblStyle w:val="TableGrid"/>
        <w:tblW w:w="9415" w:type="dxa"/>
        <w:tblInd w:w="-21" w:type="dxa"/>
        <w:tblCellMar>
          <w:top w:w="24" w:type="dxa"/>
          <w:left w:w="0" w:type="dxa"/>
          <w:bottom w:w="0" w:type="dxa"/>
          <w:right w:w="115" w:type="dxa"/>
        </w:tblCellMar>
        <w:tblLook w:val="04A0" w:firstRow="1" w:lastRow="0" w:firstColumn="1" w:lastColumn="0" w:noHBand="0" w:noVBand="1"/>
      </w:tblPr>
      <w:tblGrid>
        <w:gridCol w:w="6099"/>
        <w:gridCol w:w="3316"/>
      </w:tblGrid>
      <w:tr w:rsidR="001D2DE3">
        <w:trPr>
          <w:trHeight w:val="342"/>
        </w:trPr>
        <w:tc>
          <w:tcPr>
            <w:tcW w:w="6099" w:type="dxa"/>
            <w:tcBorders>
              <w:top w:val="nil"/>
              <w:left w:val="nil"/>
              <w:bottom w:val="nil"/>
              <w:right w:val="nil"/>
            </w:tcBorders>
            <w:shd w:val="clear" w:color="auto" w:fill="F2F2F2"/>
          </w:tcPr>
          <w:p w:rsidR="001D2DE3" w:rsidRDefault="005A3D18">
            <w:pPr>
              <w:spacing w:after="0" w:line="259" w:lineRule="auto"/>
              <w:ind w:left="132" w:firstLine="0"/>
            </w:pPr>
            <w:r>
              <w:rPr>
                <w:sz w:val="16"/>
              </w:rPr>
              <w:t>Tepelné čerpadlo GAHP-GS HT</w:t>
            </w:r>
          </w:p>
        </w:tc>
        <w:tc>
          <w:tcPr>
            <w:tcW w:w="3316" w:type="dxa"/>
            <w:tcBorders>
              <w:top w:val="nil"/>
              <w:left w:val="nil"/>
              <w:bottom w:val="nil"/>
              <w:right w:val="nil"/>
            </w:tcBorders>
            <w:shd w:val="clear" w:color="auto" w:fill="F2F2F2"/>
          </w:tcPr>
          <w:p w:rsidR="001D2DE3" w:rsidRDefault="005A3D18">
            <w:pPr>
              <w:spacing w:after="0" w:line="259" w:lineRule="auto"/>
              <w:ind w:left="0" w:firstLine="0"/>
            </w:pPr>
            <w:r>
              <w:rPr>
                <w:sz w:val="16"/>
              </w:rPr>
              <w:t>353386006</w:t>
            </w:r>
          </w:p>
        </w:tc>
      </w:tr>
    </w:tbl>
    <w:p w:rsidR="001D2DE3" w:rsidRDefault="005A3D18">
      <w:pPr>
        <w:spacing w:after="27" w:line="259" w:lineRule="auto"/>
        <w:ind w:left="674" w:right="1907" w:hanging="3"/>
      </w:pPr>
      <w:r>
        <w:rPr>
          <w:sz w:val="16"/>
        </w:rPr>
        <w:t xml:space="preserve">Datum </w:t>
      </w:r>
      <w:proofErr w:type="gramStart"/>
      <w:r>
        <w:rPr>
          <w:sz w:val="16"/>
        </w:rPr>
        <w:t>uvedení  zařízení</w:t>
      </w:r>
      <w:proofErr w:type="gramEnd"/>
      <w:r>
        <w:rPr>
          <w:sz w:val="16"/>
        </w:rPr>
        <w:t xml:space="preserve"> provozu: 21.09.2018</w:t>
      </w:r>
    </w:p>
    <w:p w:rsidR="001D2DE3" w:rsidRDefault="005A3D18">
      <w:pPr>
        <w:spacing w:after="160" w:line="259" w:lineRule="auto"/>
        <w:ind w:left="674" w:right="1907" w:hanging="3"/>
      </w:pPr>
      <w:r>
        <w:rPr>
          <w:sz w:val="16"/>
        </w:rPr>
        <w:t xml:space="preserve">Bezplatný servisní zásah včetně případné opravy (dle článku 4.2) do data: 21.09.2023 Umístění: </w:t>
      </w:r>
      <w:proofErr w:type="spellStart"/>
      <w:r>
        <w:rPr>
          <w:sz w:val="16"/>
        </w:rPr>
        <w:t>Černoleská</w:t>
      </w:r>
      <w:proofErr w:type="spellEnd"/>
      <w:r>
        <w:rPr>
          <w:sz w:val="16"/>
        </w:rPr>
        <w:t xml:space="preserve"> 1997, 256 01 Benešov</w:t>
      </w:r>
    </w:p>
    <w:p w:rsidR="001D2DE3" w:rsidRDefault="005A3D18">
      <w:pPr>
        <w:tabs>
          <w:tab w:val="center" w:pos="6477"/>
        </w:tabs>
        <w:spacing w:after="144" w:line="259" w:lineRule="auto"/>
        <w:ind w:left="0" w:firstLine="0"/>
      </w:pPr>
      <w:r>
        <w:rPr>
          <w:sz w:val="16"/>
        </w:rPr>
        <w:t>Tepelné čerpadlo GAHP-GS HT</w:t>
      </w:r>
      <w:r>
        <w:rPr>
          <w:sz w:val="16"/>
        </w:rPr>
        <w:tab/>
        <w:t>381960011</w:t>
      </w:r>
    </w:p>
    <w:p w:rsidR="001D2DE3" w:rsidRDefault="005A3D18">
      <w:pPr>
        <w:spacing w:after="27" w:line="259" w:lineRule="auto"/>
        <w:ind w:left="674" w:right="1907" w:hanging="3"/>
      </w:pPr>
      <w:r>
        <w:rPr>
          <w:sz w:val="16"/>
        </w:rPr>
        <w:t xml:space="preserve">Datum </w:t>
      </w:r>
      <w:proofErr w:type="gramStart"/>
      <w:r>
        <w:rPr>
          <w:sz w:val="16"/>
        </w:rPr>
        <w:t>uvedení  zařízení</w:t>
      </w:r>
      <w:proofErr w:type="gramEnd"/>
      <w:r>
        <w:rPr>
          <w:sz w:val="16"/>
        </w:rPr>
        <w:t xml:space="preserve"> provozu: 21.09.2018</w:t>
      </w:r>
    </w:p>
    <w:p w:rsidR="001D2DE3" w:rsidRDefault="005A3D18">
      <w:pPr>
        <w:spacing w:after="0" w:line="259" w:lineRule="auto"/>
        <w:ind w:left="674" w:right="1907" w:hanging="3"/>
      </w:pPr>
      <w:r>
        <w:rPr>
          <w:sz w:val="16"/>
        </w:rPr>
        <w:t>Bezplatný servisní zásah včetně případné opravy</w:t>
      </w:r>
      <w:r>
        <w:rPr>
          <w:sz w:val="16"/>
        </w:rPr>
        <w:t xml:space="preserve"> (dle článku 4.2) do data: 21.09.2023 Umístění: </w:t>
      </w:r>
      <w:proofErr w:type="spellStart"/>
      <w:r>
        <w:rPr>
          <w:sz w:val="16"/>
        </w:rPr>
        <w:t>Černoleská</w:t>
      </w:r>
      <w:proofErr w:type="spellEnd"/>
      <w:r>
        <w:rPr>
          <w:sz w:val="16"/>
        </w:rPr>
        <w:t xml:space="preserve"> 1997, 256 01 Benešov</w:t>
      </w:r>
    </w:p>
    <w:tbl>
      <w:tblPr>
        <w:tblStyle w:val="TableGrid"/>
        <w:tblW w:w="9415" w:type="dxa"/>
        <w:tblInd w:w="-21" w:type="dxa"/>
        <w:tblCellMar>
          <w:top w:w="24" w:type="dxa"/>
          <w:left w:w="0" w:type="dxa"/>
          <w:bottom w:w="0" w:type="dxa"/>
          <w:right w:w="115" w:type="dxa"/>
        </w:tblCellMar>
        <w:tblLook w:val="04A0" w:firstRow="1" w:lastRow="0" w:firstColumn="1" w:lastColumn="0" w:noHBand="0" w:noVBand="1"/>
      </w:tblPr>
      <w:tblGrid>
        <w:gridCol w:w="6099"/>
        <w:gridCol w:w="3316"/>
      </w:tblGrid>
      <w:tr w:rsidR="001D2DE3">
        <w:trPr>
          <w:trHeight w:val="342"/>
        </w:trPr>
        <w:tc>
          <w:tcPr>
            <w:tcW w:w="6099" w:type="dxa"/>
            <w:tcBorders>
              <w:top w:val="nil"/>
              <w:left w:val="nil"/>
              <w:bottom w:val="nil"/>
              <w:right w:val="nil"/>
            </w:tcBorders>
            <w:shd w:val="clear" w:color="auto" w:fill="F2F2F2"/>
          </w:tcPr>
          <w:p w:rsidR="001D2DE3" w:rsidRDefault="005A3D18">
            <w:pPr>
              <w:spacing w:after="0" w:line="259" w:lineRule="auto"/>
              <w:ind w:left="132" w:firstLine="0"/>
            </w:pPr>
            <w:r>
              <w:rPr>
                <w:sz w:val="16"/>
              </w:rPr>
              <w:t>Tepelné čerpadlo GAHP-GS HT</w:t>
            </w:r>
          </w:p>
        </w:tc>
        <w:tc>
          <w:tcPr>
            <w:tcW w:w="3316" w:type="dxa"/>
            <w:tcBorders>
              <w:top w:val="nil"/>
              <w:left w:val="nil"/>
              <w:bottom w:val="nil"/>
              <w:right w:val="nil"/>
            </w:tcBorders>
            <w:shd w:val="clear" w:color="auto" w:fill="F2F2F2"/>
          </w:tcPr>
          <w:p w:rsidR="001D2DE3" w:rsidRDefault="005A3D18">
            <w:pPr>
              <w:spacing w:after="0" w:line="259" w:lineRule="auto"/>
              <w:ind w:left="0" w:firstLine="0"/>
            </w:pPr>
            <w:r>
              <w:rPr>
                <w:sz w:val="16"/>
              </w:rPr>
              <w:t>381960012</w:t>
            </w:r>
          </w:p>
        </w:tc>
      </w:tr>
    </w:tbl>
    <w:p w:rsidR="001D2DE3" w:rsidRDefault="005A3D18">
      <w:pPr>
        <w:spacing w:after="27" w:line="259" w:lineRule="auto"/>
        <w:ind w:left="674" w:right="1907" w:hanging="3"/>
      </w:pPr>
      <w:r>
        <w:rPr>
          <w:sz w:val="16"/>
        </w:rPr>
        <w:t xml:space="preserve">Datum </w:t>
      </w:r>
      <w:proofErr w:type="gramStart"/>
      <w:r>
        <w:rPr>
          <w:sz w:val="16"/>
        </w:rPr>
        <w:t>uvedení  zařízení</w:t>
      </w:r>
      <w:proofErr w:type="gramEnd"/>
      <w:r>
        <w:rPr>
          <w:sz w:val="16"/>
        </w:rPr>
        <w:t xml:space="preserve"> provozu: 21.09.2018</w:t>
      </w:r>
    </w:p>
    <w:p w:rsidR="001D2DE3" w:rsidRDefault="005A3D18">
      <w:pPr>
        <w:spacing w:after="160" w:line="259" w:lineRule="auto"/>
        <w:ind w:left="674" w:right="1907" w:hanging="3"/>
      </w:pPr>
      <w:r>
        <w:rPr>
          <w:sz w:val="16"/>
        </w:rPr>
        <w:t xml:space="preserve">Bezplatný servisní zásah včetně případné opravy (dle článku 4.2) do data: 21.09.2023 Umístění: </w:t>
      </w:r>
      <w:proofErr w:type="spellStart"/>
      <w:r>
        <w:rPr>
          <w:sz w:val="16"/>
        </w:rPr>
        <w:t>Černoleská</w:t>
      </w:r>
      <w:proofErr w:type="spellEnd"/>
      <w:r>
        <w:rPr>
          <w:sz w:val="16"/>
        </w:rPr>
        <w:t xml:space="preserve"> 1997, 256 01 Benešov</w:t>
      </w:r>
    </w:p>
    <w:p w:rsidR="001D2DE3" w:rsidRDefault="005A3D18">
      <w:pPr>
        <w:tabs>
          <w:tab w:val="center" w:pos="6477"/>
        </w:tabs>
        <w:spacing w:after="145" w:line="259" w:lineRule="auto"/>
        <w:ind w:left="0" w:firstLine="0"/>
      </w:pPr>
      <w:r>
        <w:rPr>
          <w:sz w:val="16"/>
        </w:rPr>
        <w:lastRenderedPageBreak/>
        <w:t>Tepelné čerpadlo GAHP-GS HT</w:t>
      </w:r>
      <w:r>
        <w:rPr>
          <w:sz w:val="16"/>
        </w:rPr>
        <w:tab/>
        <w:t>381960013</w:t>
      </w:r>
    </w:p>
    <w:p w:rsidR="001D2DE3" w:rsidRDefault="005A3D18">
      <w:pPr>
        <w:spacing w:after="27" w:line="259" w:lineRule="auto"/>
        <w:ind w:left="674" w:right="1907" w:hanging="3"/>
      </w:pPr>
      <w:r>
        <w:rPr>
          <w:sz w:val="16"/>
        </w:rPr>
        <w:t xml:space="preserve">Datum </w:t>
      </w:r>
      <w:proofErr w:type="gramStart"/>
      <w:r>
        <w:rPr>
          <w:sz w:val="16"/>
        </w:rPr>
        <w:t>uvedení  zařízení</w:t>
      </w:r>
      <w:proofErr w:type="gramEnd"/>
      <w:r>
        <w:rPr>
          <w:sz w:val="16"/>
        </w:rPr>
        <w:t xml:space="preserve"> provozu: 21.09.2018</w:t>
      </w:r>
    </w:p>
    <w:p w:rsidR="001D2DE3" w:rsidRDefault="005A3D18">
      <w:pPr>
        <w:spacing w:after="0" w:line="259" w:lineRule="auto"/>
        <w:ind w:left="674" w:right="1907" w:hanging="3"/>
      </w:pPr>
      <w:r>
        <w:rPr>
          <w:sz w:val="16"/>
        </w:rPr>
        <w:t>Bezplatný servisní zásah včetně případné opravy</w:t>
      </w:r>
      <w:r>
        <w:rPr>
          <w:sz w:val="16"/>
        </w:rPr>
        <w:t xml:space="preserve"> (dle článku 4.2) do data: 21.09.2023 Umístění: </w:t>
      </w:r>
      <w:proofErr w:type="spellStart"/>
      <w:r>
        <w:rPr>
          <w:sz w:val="16"/>
        </w:rPr>
        <w:t>Černoleská</w:t>
      </w:r>
      <w:proofErr w:type="spellEnd"/>
      <w:r>
        <w:rPr>
          <w:sz w:val="16"/>
        </w:rPr>
        <w:t xml:space="preserve"> 1997, 256 01 Benešov</w:t>
      </w:r>
    </w:p>
    <w:tbl>
      <w:tblPr>
        <w:tblStyle w:val="TableGrid"/>
        <w:tblW w:w="9415" w:type="dxa"/>
        <w:tblInd w:w="-21" w:type="dxa"/>
        <w:tblCellMar>
          <w:top w:w="24" w:type="dxa"/>
          <w:left w:w="0" w:type="dxa"/>
          <w:bottom w:w="0" w:type="dxa"/>
          <w:right w:w="115" w:type="dxa"/>
        </w:tblCellMar>
        <w:tblLook w:val="04A0" w:firstRow="1" w:lastRow="0" w:firstColumn="1" w:lastColumn="0" w:noHBand="0" w:noVBand="1"/>
      </w:tblPr>
      <w:tblGrid>
        <w:gridCol w:w="6099"/>
        <w:gridCol w:w="3316"/>
      </w:tblGrid>
      <w:tr w:rsidR="001D2DE3">
        <w:trPr>
          <w:trHeight w:val="342"/>
        </w:trPr>
        <w:tc>
          <w:tcPr>
            <w:tcW w:w="6099" w:type="dxa"/>
            <w:tcBorders>
              <w:top w:val="nil"/>
              <w:left w:val="nil"/>
              <w:bottom w:val="nil"/>
              <w:right w:val="nil"/>
            </w:tcBorders>
            <w:shd w:val="clear" w:color="auto" w:fill="F2F2F2"/>
          </w:tcPr>
          <w:p w:rsidR="001D2DE3" w:rsidRDefault="005A3D18">
            <w:pPr>
              <w:spacing w:after="0" w:line="259" w:lineRule="auto"/>
              <w:ind w:left="132" w:firstLine="0"/>
            </w:pPr>
            <w:r>
              <w:rPr>
                <w:sz w:val="16"/>
              </w:rPr>
              <w:t>Tepelné čerpadlo GAHP-GS HT</w:t>
            </w:r>
          </w:p>
        </w:tc>
        <w:tc>
          <w:tcPr>
            <w:tcW w:w="3316" w:type="dxa"/>
            <w:tcBorders>
              <w:top w:val="nil"/>
              <w:left w:val="nil"/>
              <w:bottom w:val="nil"/>
              <w:right w:val="nil"/>
            </w:tcBorders>
            <w:shd w:val="clear" w:color="auto" w:fill="F2F2F2"/>
          </w:tcPr>
          <w:p w:rsidR="001D2DE3" w:rsidRDefault="005A3D18">
            <w:pPr>
              <w:spacing w:after="0" w:line="259" w:lineRule="auto"/>
              <w:ind w:left="0" w:firstLine="0"/>
            </w:pPr>
            <w:r>
              <w:rPr>
                <w:sz w:val="16"/>
              </w:rPr>
              <w:t>381960014</w:t>
            </w:r>
          </w:p>
        </w:tc>
      </w:tr>
    </w:tbl>
    <w:p w:rsidR="001D2DE3" w:rsidRDefault="005A3D18">
      <w:pPr>
        <w:spacing w:after="27" w:line="259" w:lineRule="auto"/>
        <w:ind w:left="674" w:right="1907" w:hanging="3"/>
      </w:pPr>
      <w:r>
        <w:rPr>
          <w:sz w:val="16"/>
        </w:rPr>
        <w:t xml:space="preserve">Datum </w:t>
      </w:r>
      <w:proofErr w:type="gramStart"/>
      <w:r>
        <w:rPr>
          <w:sz w:val="16"/>
        </w:rPr>
        <w:t>uvedení  zařízení</w:t>
      </w:r>
      <w:proofErr w:type="gramEnd"/>
      <w:r>
        <w:rPr>
          <w:sz w:val="16"/>
        </w:rPr>
        <w:t xml:space="preserve"> provozu: 21.09.2018</w:t>
      </w:r>
    </w:p>
    <w:p w:rsidR="001D2DE3" w:rsidRDefault="005A3D18">
      <w:pPr>
        <w:spacing w:after="388" w:line="259" w:lineRule="auto"/>
        <w:ind w:left="674" w:right="1907" w:hanging="3"/>
      </w:pPr>
      <w:r>
        <w:rPr>
          <w:sz w:val="16"/>
        </w:rPr>
        <w:t xml:space="preserve">Bezplatný servisní zásah včetně případné opravy (dle článku 4.2) do data: 21.09.2023 </w:t>
      </w:r>
      <w:bookmarkStart w:id="0" w:name="_GoBack"/>
      <w:bookmarkEnd w:id="0"/>
      <w:r>
        <w:rPr>
          <w:sz w:val="16"/>
        </w:rPr>
        <w:t xml:space="preserve">Umístění: </w:t>
      </w:r>
      <w:proofErr w:type="spellStart"/>
      <w:r>
        <w:rPr>
          <w:sz w:val="16"/>
        </w:rPr>
        <w:t>Černoleská</w:t>
      </w:r>
      <w:proofErr w:type="spellEnd"/>
      <w:r>
        <w:rPr>
          <w:sz w:val="16"/>
        </w:rPr>
        <w:t xml:space="preserve"> 1997, 256 01 Benešov</w:t>
      </w:r>
    </w:p>
    <w:p w:rsidR="001D2DE3" w:rsidRDefault="005A3D18">
      <w:pPr>
        <w:spacing w:after="614"/>
        <w:ind w:left="-5"/>
      </w:pPr>
      <w:r>
        <w:t xml:space="preserve">V                                  dne    </w:t>
      </w:r>
      <w:proofErr w:type="gramStart"/>
      <w:r>
        <w:t xml:space="preserve">  .</w:t>
      </w:r>
      <w:proofErr w:type="gramEnd"/>
      <w:r>
        <w:t xml:space="preserve">                                      V                                             </w:t>
      </w:r>
      <w:r>
        <w:t xml:space="preserve">  dne       </w:t>
      </w:r>
    </w:p>
    <w:p w:rsidR="001D2DE3" w:rsidRDefault="005A3D18">
      <w:pPr>
        <w:ind w:left="-5" w:right="703"/>
      </w:pPr>
      <w:r>
        <w:t xml:space="preserve">                                                            .          </w:t>
      </w:r>
      <w:proofErr w:type="gramStart"/>
      <w:r>
        <w:t>ing.</w:t>
      </w:r>
      <w:proofErr w:type="gramEnd"/>
      <w:r>
        <w:t xml:space="preserve"> Martin Bednář, jednatel ROBUR, s.r.o.                                                                                                                        </w:t>
      </w:r>
    </w:p>
    <w:sectPr w:rsidR="001D2DE3">
      <w:headerReference w:type="even" r:id="rId7"/>
      <w:headerReference w:type="default" r:id="rId8"/>
      <w:footerReference w:type="even" r:id="rId9"/>
      <w:footerReference w:type="default" r:id="rId10"/>
      <w:headerReference w:type="first" r:id="rId11"/>
      <w:footerReference w:type="first" r:id="rId12"/>
      <w:pgSz w:w="11908" w:h="16840"/>
      <w:pgMar w:top="2281" w:right="1274" w:bottom="1724" w:left="1265" w:header="680" w:footer="14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D18" w:rsidRDefault="005A3D18">
      <w:pPr>
        <w:spacing w:after="0" w:line="240" w:lineRule="auto"/>
      </w:pPr>
      <w:r>
        <w:separator/>
      </w:r>
    </w:p>
  </w:endnote>
  <w:endnote w:type="continuationSeparator" w:id="0">
    <w:p w:rsidR="005A3D18" w:rsidRDefault="005A3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DE3" w:rsidRDefault="005A3D18">
    <w:pPr>
      <w:spacing w:after="0" w:line="259" w:lineRule="auto"/>
      <w:ind w:left="-1"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791197</wp:posOffset>
              </wp:positionH>
              <wp:positionV relativeFrom="page">
                <wp:posOffset>9614574</wp:posOffset>
              </wp:positionV>
              <wp:extent cx="5976112" cy="1829"/>
              <wp:effectExtent l="0" t="0" r="0" b="0"/>
              <wp:wrapSquare wrapText="bothSides"/>
              <wp:docPr id="13992" name="Group 13992"/>
              <wp:cNvGraphicFramePr/>
              <a:graphic xmlns:a="http://schemas.openxmlformats.org/drawingml/2006/main">
                <a:graphicData uri="http://schemas.microsoft.com/office/word/2010/wordprocessingGroup">
                  <wpg:wgp>
                    <wpg:cNvGrpSpPr/>
                    <wpg:grpSpPr>
                      <a:xfrm>
                        <a:off x="0" y="0"/>
                        <a:ext cx="5976112" cy="1829"/>
                        <a:chOff x="0" y="0"/>
                        <a:chExt cx="5976112" cy="1829"/>
                      </a:xfrm>
                    </wpg:grpSpPr>
                    <wps:wsp>
                      <wps:cNvPr id="14295" name="Shape 14295"/>
                      <wps:cNvSpPr/>
                      <wps:spPr>
                        <a:xfrm>
                          <a:off x="0" y="0"/>
                          <a:ext cx="5976112" cy="9144"/>
                        </a:xfrm>
                        <a:custGeom>
                          <a:avLst/>
                          <a:gdLst/>
                          <a:ahLst/>
                          <a:cxnLst/>
                          <a:rect l="0" t="0" r="0" b="0"/>
                          <a:pathLst>
                            <a:path w="5976112" h="9144">
                              <a:moveTo>
                                <a:pt x="0" y="0"/>
                              </a:moveTo>
                              <a:lnTo>
                                <a:pt x="5976112" y="0"/>
                              </a:lnTo>
                              <a:lnTo>
                                <a:pt x="5976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992" style="width:470.56pt;height:0.143982pt;position:absolute;mso-position-horizontal-relative:page;mso-position-horizontal:absolute;margin-left:62.299pt;mso-position-vertical-relative:page;margin-top:757.053pt;" coordsize="59761,18">
              <v:shape id="Shape 14296" style="position:absolute;width:59761;height:91;left:0;top:0;" coordsize="5976112,9144" path="m0,0l5976112,0l5976112,9144l0,9144l0,0">
                <v:stroke weight="0pt" endcap="flat" joinstyle="miter" miterlimit="10" on="false" color="#000000" opacity="0"/>
                <v:fill on="true" color="#000000"/>
              </v:shape>
              <w10:wrap type="square"/>
            </v:group>
          </w:pict>
        </mc:Fallback>
      </mc:AlternateContent>
    </w:r>
    <w:r>
      <w:rPr>
        <w:sz w:val="14"/>
      </w:rPr>
      <w:t>Firma je zapsaná v OR KS v Brně, oddíl C, vložka 11345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DE3" w:rsidRDefault="005A3D18">
    <w:pPr>
      <w:spacing w:after="0" w:line="259" w:lineRule="auto"/>
      <w:ind w:left="-1"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791197</wp:posOffset>
              </wp:positionH>
              <wp:positionV relativeFrom="page">
                <wp:posOffset>9614574</wp:posOffset>
              </wp:positionV>
              <wp:extent cx="5976112" cy="1829"/>
              <wp:effectExtent l="0" t="0" r="0" b="0"/>
              <wp:wrapSquare wrapText="bothSides"/>
              <wp:docPr id="13970" name="Group 13970"/>
              <wp:cNvGraphicFramePr/>
              <a:graphic xmlns:a="http://schemas.openxmlformats.org/drawingml/2006/main">
                <a:graphicData uri="http://schemas.microsoft.com/office/word/2010/wordprocessingGroup">
                  <wpg:wgp>
                    <wpg:cNvGrpSpPr/>
                    <wpg:grpSpPr>
                      <a:xfrm>
                        <a:off x="0" y="0"/>
                        <a:ext cx="5976112" cy="1829"/>
                        <a:chOff x="0" y="0"/>
                        <a:chExt cx="5976112" cy="1829"/>
                      </a:xfrm>
                    </wpg:grpSpPr>
                    <wps:wsp>
                      <wps:cNvPr id="14293" name="Shape 14293"/>
                      <wps:cNvSpPr/>
                      <wps:spPr>
                        <a:xfrm>
                          <a:off x="0" y="0"/>
                          <a:ext cx="5976112" cy="9144"/>
                        </a:xfrm>
                        <a:custGeom>
                          <a:avLst/>
                          <a:gdLst/>
                          <a:ahLst/>
                          <a:cxnLst/>
                          <a:rect l="0" t="0" r="0" b="0"/>
                          <a:pathLst>
                            <a:path w="5976112" h="9144">
                              <a:moveTo>
                                <a:pt x="0" y="0"/>
                              </a:moveTo>
                              <a:lnTo>
                                <a:pt x="5976112" y="0"/>
                              </a:lnTo>
                              <a:lnTo>
                                <a:pt x="5976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970" style="width:470.56pt;height:0.143982pt;position:absolute;mso-position-horizontal-relative:page;mso-position-horizontal:absolute;margin-left:62.299pt;mso-position-vertical-relative:page;margin-top:757.053pt;" coordsize="59761,18">
              <v:shape id="Shape 14294" style="position:absolute;width:59761;height:91;left:0;top:0;" coordsize="5976112,9144" path="m0,0l5976112,0l5976112,9144l0,9144l0,0">
                <v:stroke weight="0pt" endcap="flat" joinstyle="miter" miterlimit="10" on="false" color="#000000" opacity="0"/>
                <v:fill on="true" color="#000000"/>
              </v:shape>
              <w10:wrap type="square"/>
            </v:group>
          </w:pict>
        </mc:Fallback>
      </mc:AlternateContent>
    </w:r>
    <w:r>
      <w:rPr>
        <w:sz w:val="14"/>
      </w:rPr>
      <w:t>Firma je zapsaná v OR KS v Brně, oddíl C, vložka 11345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DE3" w:rsidRDefault="005A3D18">
    <w:pPr>
      <w:spacing w:after="0" w:line="259" w:lineRule="auto"/>
      <w:ind w:left="-1"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791197</wp:posOffset>
              </wp:positionH>
              <wp:positionV relativeFrom="page">
                <wp:posOffset>9614574</wp:posOffset>
              </wp:positionV>
              <wp:extent cx="5976112" cy="1829"/>
              <wp:effectExtent l="0" t="0" r="0" b="0"/>
              <wp:wrapSquare wrapText="bothSides"/>
              <wp:docPr id="13948" name="Group 13948"/>
              <wp:cNvGraphicFramePr/>
              <a:graphic xmlns:a="http://schemas.openxmlformats.org/drawingml/2006/main">
                <a:graphicData uri="http://schemas.microsoft.com/office/word/2010/wordprocessingGroup">
                  <wpg:wgp>
                    <wpg:cNvGrpSpPr/>
                    <wpg:grpSpPr>
                      <a:xfrm>
                        <a:off x="0" y="0"/>
                        <a:ext cx="5976112" cy="1829"/>
                        <a:chOff x="0" y="0"/>
                        <a:chExt cx="5976112" cy="1829"/>
                      </a:xfrm>
                    </wpg:grpSpPr>
                    <wps:wsp>
                      <wps:cNvPr id="14291" name="Shape 14291"/>
                      <wps:cNvSpPr/>
                      <wps:spPr>
                        <a:xfrm>
                          <a:off x="0" y="0"/>
                          <a:ext cx="5976112" cy="9144"/>
                        </a:xfrm>
                        <a:custGeom>
                          <a:avLst/>
                          <a:gdLst/>
                          <a:ahLst/>
                          <a:cxnLst/>
                          <a:rect l="0" t="0" r="0" b="0"/>
                          <a:pathLst>
                            <a:path w="5976112" h="9144">
                              <a:moveTo>
                                <a:pt x="0" y="0"/>
                              </a:moveTo>
                              <a:lnTo>
                                <a:pt x="5976112" y="0"/>
                              </a:lnTo>
                              <a:lnTo>
                                <a:pt x="5976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948" style="width:470.56pt;height:0.143982pt;position:absolute;mso-position-horizontal-relative:page;mso-position-horizontal:absolute;margin-left:62.299pt;mso-position-vertical-relative:page;margin-top:757.053pt;" coordsize="59761,18">
              <v:shape id="Shape 14292" style="position:absolute;width:59761;height:91;left:0;top:0;" coordsize="5976112,9144" path="m0,0l5976112,0l5976112,9144l0,9144l0,0">
                <v:stroke weight="0pt" endcap="flat" joinstyle="miter" miterlimit="10" on="false" color="#000000" opacity="0"/>
                <v:fill on="true" color="#000000"/>
              </v:shape>
              <w10:wrap type="square"/>
            </v:group>
          </w:pict>
        </mc:Fallback>
      </mc:AlternateContent>
    </w:r>
    <w:r>
      <w:rPr>
        <w:sz w:val="14"/>
      </w:rPr>
      <w:t>Firma je zapsaná v OR KS v Brně, oddíl C, vložka 11345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D18" w:rsidRDefault="005A3D18">
      <w:pPr>
        <w:spacing w:after="0" w:line="240" w:lineRule="auto"/>
      </w:pPr>
      <w:r>
        <w:separator/>
      </w:r>
    </w:p>
  </w:footnote>
  <w:footnote w:type="continuationSeparator" w:id="0">
    <w:p w:rsidR="005A3D18" w:rsidRDefault="005A3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DE3" w:rsidRDefault="005A3D18">
    <w:pPr>
      <w:spacing w:after="413" w:line="259" w:lineRule="auto"/>
      <w:ind w:left="-19" w:right="-6"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791197</wp:posOffset>
              </wp:positionH>
              <wp:positionV relativeFrom="page">
                <wp:posOffset>1348360</wp:posOffset>
              </wp:positionV>
              <wp:extent cx="5976112" cy="38098"/>
              <wp:effectExtent l="0" t="0" r="0" b="0"/>
              <wp:wrapSquare wrapText="bothSides"/>
              <wp:docPr id="13979" name="Group 13979"/>
              <wp:cNvGraphicFramePr/>
              <a:graphic xmlns:a="http://schemas.openxmlformats.org/drawingml/2006/main">
                <a:graphicData uri="http://schemas.microsoft.com/office/word/2010/wordprocessingGroup">
                  <wpg:wgp>
                    <wpg:cNvGrpSpPr/>
                    <wpg:grpSpPr>
                      <a:xfrm>
                        <a:off x="0" y="0"/>
                        <a:ext cx="5976112" cy="38098"/>
                        <a:chOff x="0" y="0"/>
                        <a:chExt cx="5976112" cy="38098"/>
                      </a:xfrm>
                    </wpg:grpSpPr>
                    <wps:wsp>
                      <wps:cNvPr id="14289" name="Shape 14289"/>
                      <wps:cNvSpPr/>
                      <wps:spPr>
                        <a:xfrm>
                          <a:off x="0" y="0"/>
                          <a:ext cx="5976112" cy="38098"/>
                        </a:xfrm>
                        <a:custGeom>
                          <a:avLst/>
                          <a:gdLst/>
                          <a:ahLst/>
                          <a:cxnLst/>
                          <a:rect l="0" t="0" r="0" b="0"/>
                          <a:pathLst>
                            <a:path w="5976112" h="38098">
                              <a:moveTo>
                                <a:pt x="0" y="0"/>
                              </a:moveTo>
                              <a:lnTo>
                                <a:pt x="5976112" y="0"/>
                              </a:lnTo>
                              <a:lnTo>
                                <a:pt x="5976112" y="38098"/>
                              </a:lnTo>
                              <a:lnTo>
                                <a:pt x="0" y="380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979" style="width:470.56pt;height:2.99988pt;position:absolute;mso-position-horizontal-relative:page;mso-position-horizontal:absolute;margin-left:62.299pt;mso-position-vertical-relative:page;margin-top:106.17pt;" coordsize="59761,380">
              <v:shape id="Shape 14290" style="position:absolute;width:59761;height:380;left:0;top:0;" coordsize="5976112,38098" path="m0,0l5976112,0l5976112,38098l0,38098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simplePos x="0" y="0"/>
          <wp:positionH relativeFrom="page">
            <wp:posOffset>791197</wp:posOffset>
          </wp:positionH>
          <wp:positionV relativeFrom="page">
            <wp:posOffset>431635</wp:posOffset>
          </wp:positionV>
          <wp:extent cx="2808224" cy="405676"/>
          <wp:effectExtent l="0" t="0" r="0" b="0"/>
          <wp:wrapSquare wrapText="bothSides"/>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a:fillRect/>
                  </a:stretch>
                </pic:blipFill>
                <pic:spPr>
                  <a:xfrm>
                    <a:off x="0" y="0"/>
                    <a:ext cx="2808224" cy="405676"/>
                  </a:xfrm>
                  <a:prstGeom prst="rect">
                    <a:avLst/>
                  </a:prstGeom>
                </pic:spPr>
              </pic:pic>
            </a:graphicData>
          </a:graphic>
        </wp:anchor>
      </w:drawing>
    </w:r>
    <w:r>
      <w:tab/>
      <w:t xml:space="preserve"> </w:t>
    </w:r>
  </w:p>
  <w:p w:rsidR="001D2DE3" w:rsidRDefault="005A3D18">
    <w:pPr>
      <w:spacing w:after="0" w:line="259" w:lineRule="auto"/>
      <w:ind w:left="0" w:right="112" w:firstLine="0"/>
      <w:jc w:val="right"/>
    </w:pPr>
    <w:r>
      <w:rPr>
        <w:b/>
        <w:sz w:val="24"/>
      </w:rPr>
      <w:t>Servisní smlouva prohlídky a dohledové služby (GAHP)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DE3" w:rsidRDefault="005A3D18">
    <w:pPr>
      <w:spacing w:after="413" w:line="259" w:lineRule="auto"/>
      <w:ind w:left="-19" w:right="-6"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791197</wp:posOffset>
              </wp:positionH>
              <wp:positionV relativeFrom="page">
                <wp:posOffset>1348360</wp:posOffset>
              </wp:positionV>
              <wp:extent cx="5976112" cy="38098"/>
              <wp:effectExtent l="0" t="0" r="0" b="0"/>
              <wp:wrapSquare wrapText="bothSides"/>
              <wp:docPr id="13957" name="Group 13957"/>
              <wp:cNvGraphicFramePr/>
              <a:graphic xmlns:a="http://schemas.openxmlformats.org/drawingml/2006/main">
                <a:graphicData uri="http://schemas.microsoft.com/office/word/2010/wordprocessingGroup">
                  <wpg:wgp>
                    <wpg:cNvGrpSpPr/>
                    <wpg:grpSpPr>
                      <a:xfrm>
                        <a:off x="0" y="0"/>
                        <a:ext cx="5976112" cy="38098"/>
                        <a:chOff x="0" y="0"/>
                        <a:chExt cx="5976112" cy="38098"/>
                      </a:xfrm>
                    </wpg:grpSpPr>
                    <wps:wsp>
                      <wps:cNvPr id="14287" name="Shape 14287"/>
                      <wps:cNvSpPr/>
                      <wps:spPr>
                        <a:xfrm>
                          <a:off x="0" y="0"/>
                          <a:ext cx="5976112" cy="38098"/>
                        </a:xfrm>
                        <a:custGeom>
                          <a:avLst/>
                          <a:gdLst/>
                          <a:ahLst/>
                          <a:cxnLst/>
                          <a:rect l="0" t="0" r="0" b="0"/>
                          <a:pathLst>
                            <a:path w="5976112" h="38098">
                              <a:moveTo>
                                <a:pt x="0" y="0"/>
                              </a:moveTo>
                              <a:lnTo>
                                <a:pt x="5976112" y="0"/>
                              </a:lnTo>
                              <a:lnTo>
                                <a:pt x="5976112" y="38098"/>
                              </a:lnTo>
                              <a:lnTo>
                                <a:pt x="0" y="380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957" style="width:470.56pt;height:2.99988pt;position:absolute;mso-position-horizontal-relative:page;mso-position-horizontal:absolute;margin-left:62.299pt;mso-position-vertical-relative:page;margin-top:106.17pt;" coordsize="59761,380">
              <v:shape id="Shape 14288" style="position:absolute;width:59761;height:380;left:0;top:0;" coordsize="5976112,38098" path="m0,0l5976112,0l5976112,38098l0,38098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1312" behindDoc="0" locked="0" layoutInCell="1" allowOverlap="0">
          <wp:simplePos x="0" y="0"/>
          <wp:positionH relativeFrom="page">
            <wp:posOffset>791197</wp:posOffset>
          </wp:positionH>
          <wp:positionV relativeFrom="page">
            <wp:posOffset>431635</wp:posOffset>
          </wp:positionV>
          <wp:extent cx="2808224" cy="405676"/>
          <wp:effectExtent l="0" t="0" r="0" b="0"/>
          <wp:wrapSquare wrapText="bothSides"/>
          <wp:docPr id="1"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a:fillRect/>
                  </a:stretch>
                </pic:blipFill>
                <pic:spPr>
                  <a:xfrm>
                    <a:off x="0" y="0"/>
                    <a:ext cx="2808224" cy="405676"/>
                  </a:xfrm>
                  <a:prstGeom prst="rect">
                    <a:avLst/>
                  </a:prstGeom>
                </pic:spPr>
              </pic:pic>
            </a:graphicData>
          </a:graphic>
        </wp:anchor>
      </w:drawing>
    </w:r>
    <w:r>
      <w:tab/>
      <w:t xml:space="preserve"> </w:t>
    </w:r>
  </w:p>
  <w:p w:rsidR="001D2DE3" w:rsidRDefault="005A3D18">
    <w:pPr>
      <w:spacing w:after="0" w:line="259" w:lineRule="auto"/>
      <w:ind w:left="0" w:right="112" w:firstLine="0"/>
      <w:jc w:val="right"/>
    </w:pPr>
    <w:r>
      <w:rPr>
        <w:b/>
        <w:sz w:val="24"/>
      </w:rPr>
      <w:t>Servisní smlouva prohlídky a dohledové služby (GAHP)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DE3" w:rsidRDefault="005A3D18">
    <w:pPr>
      <w:spacing w:after="413" w:line="259" w:lineRule="auto"/>
      <w:ind w:left="-19" w:right="-6"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791197</wp:posOffset>
              </wp:positionH>
              <wp:positionV relativeFrom="page">
                <wp:posOffset>1348360</wp:posOffset>
              </wp:positionV>
              <wp:extent cx="5976112" cy="38098"/>
              <wp:effectExtent l="0" t="0" r="0" b="0"/>
              <wp:wrapSquare wrapText="bothSides"/>
              <wp:docPr id="13935" name="Group 13935"/>
              <wp:cNvGraphicFramePr/>
              <a:graphic xmlns:a="http://schemas.openxmlformats.org/drawingml/2006/main">
                <a:graphicData uri="http://schemas.microsoft.com/office/word/2010/wordprocessingGroup">
                  <wpg:wgp>
                    <wpg:cNvGrpSpPr/>
                    <wpg:grpSpPr>
                      <a:xfrm>
                        <a:off x="0" y="0"/>
                        <a:ext cx="5976112" cy="38098"/>
                        <a:chOff x="0" y="0"/>
                        <a:chExt cx="5976112" cy="38098"/>
                      </a:xfrm>
                    </wpg:grpSpPr>
                    <wps:wsp>
                      <wps:cNvPr id="14285" name="Shape 14285"/>
                      <wps:cNvSpPr/>
                      <wps:spPr>
                        <a:xfrm>
                          <a:off x="0" y="0"/>
                          <a:ext cx="5976112" cy="38098"/>
                        </a:xfrm>
                        <a:custGeom>
                          <a:avLst/>
                          <a:gdLst/>
                          <a:ahLst/>
                          <a:cxnLst/>
                          <a:rect l="0" t="0" r="0" b="0"/>
                          <a:pathLst>
                            <a:path w="5976112" h="38098">
                              <a:moveTo>
                                <a:pt x="0" y="0"/>
                              </a:moveTo>
                              <a:lnTo>
                                <a:pt x="5976112" y="0"/>
                              </a:lnTo>
                              <a:lnTo>
                                <a:pt x="5976112" y="38098"/>
                              </a:lnTo>
                              <a:lnTo>
                                <a:pt x="0" y="380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935" style="width:470.56pt;height:2.99988pt;position:absolute;mso-position-horizontal-relative:page;mso-position-horizontal:absolute;margin-left:62.299pt;mso-position-vertical-relative:page;margin-top:106.17pt;" coordsize="59761,380">
              <v:shape id="Shape 14286" style="position:absolute;width:59761;height:380;left:0;top:0;" coordsize="5976112,38098" path="m0,0l5976112,0l5976112,38098l0,38098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3360" behindDoc="0" locked="0" layoutInCell="1" allowOverlap="0">
          <wp:simplePos x="0" y="0"/>
          <wp:positionH relativeFrom="page">
            <wp:posOffset>791197</wp:posOffset>
          </wp:positionH>
          <wp:positionV relativeFrom="page">
            <wp:posOffset>431635</wp:posOffset>
          </wp:positionV>
          <wp:extent cx="2808224" cy="405676"/>
          <wp:effectExtent l="0" t="0" r="0" b="0"/>
          <wp:wrapSquare wrapText="bothSides"/>
          <wp:docPr id="2"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a:fillRect/>
                  </a:stretch>
                </pic:blipFill>
                <pic:spPr>
                  <a:xfrm>
                    <a:off x="0" y="0"/>
                    <a:ext cx="2808224" cy="405676"/>
                  </a:xfrm>
                  <a:prstGeom prst="rect">
                    <a:avLst/>
                  </a:prstGeom>
                </pic:spPr>
              </pic:pic>
            </a:graphicData>
          </a:graphic>
        </wp:anchor>
      </w:drawing>
    </w:r>
    <w:r>
      <w:tab/>
      <w:t xml:space="preserve"> </w:t>
    </w:r>
  </w:p>
  <w:p w:rsidR="001D2DE3" w:rsidRDefault="005A3D18">
    <w:pPr>
      <w:spacing w:after="0" w:line="259" w:lineRule="auto"/>
      <w:ind w:left="0" w:right="112" w:firstLine="0"/>
      <w:jc w:val="right"/>
    </w:pPr>
    <w:r>
      <w:rPr>
        <w:b/>
        <w:sz w:val="24"/>
      </w:rPr>
      <w:t>Servisní smlouva prohlídky a dohledové služby (GAHP)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76377"/>
    <w:multiLevelType w:val="multilevel"/>
    <w:tmpl w:val="24C024D6"/>
    <w:lvl w:ilvl="0">
      <w:start w:val="4"/>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6"/>
      <w:numFmt w:val="decimal"/>
      <w:lvlRestart w:val="0"/>
      <w:lvlText w:val="%1.%2"/>
      <w:lvlJc w:val="left"/>
      <w:pPr>
        <w:ind w:left="7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1F56DA9"/>
    <w:multiLevelType w:val="multilevel"/>
    <w:tmpl w:val="5E3E08C8"/>
    <w:lvl w:ilvl="0">
      <w:start w:val="4"/>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4"/>
      <w:numFmt w:val="decimal"/>
      <w:lvlRestart w:val="0"/>
      <w:lvlText w:val="%1.%2"/>
      <w:lvlJc w:val="left"/>
      <w:pPr>
        <w:ind w:left="10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46064E8"/>
    <w:multiLevelType w:val="hybridMultilevel"/>
    <w:tmpl w:val="E702CE8C"/>
    <w:lvl w:ilvl="0" w:tplc="4CDAA144">
      <w:start w:val="2"/>
      <w:numFmt w:val="lowerLetter"/>
      <w:lvlText w:val="%1)"/>
      <w:lvlJc w:val="left"/>
      <w:pPr>
        <w:ind w:left="2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124EE8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ABE234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505A8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31A0D8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5AA8A3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42ED39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8A488B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30CE41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E9C24D8"/>
    <w:multiLevelType w:val="hybridMultilevel"/>
    <w:tmpl w:val="6A98D382"/>
    <w:lvl w:ilvl="0" w:tplc="C464B1B6">
      <w:start w:val="1"/>
      <w:numFmt w:val="bullet"/>
      <w:lvlText w:val="-"/>
      <w:lvlJc w:val="left"/>
      <w:pPr>
        <w:ind w:left="1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570A736">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FC04B62">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854B89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87CE998">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C9C097E">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AEE20F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1C822AE">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3BC1FAA">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DE3"/>
    <w:rsid w:val="001D2DE3"/>
    <w:rsid w:val="00371570"/>
    <w:rsid w:val="005A3D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F0C2D6-152A-4847-9A77-FA663871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95" w:line="247" w:lineRule="auto"/>
      <w:ind w:left="122" w:hanging="10"/>
    </w:pPr>
    <w:rPr>
      <w:rFonts w:ascii="Arial" w:eastAsia="Arial" w:hAnsi="Arial" w:cs="Arial"/>
      <w:color w:val="000000"/>
      <w:sz w:val="18"/>
    </w:rPr>
  </w:style>
  <w:style w:type="paragraph" w:styleId="Nadpis1">
    <w:name w:val="heading 1"/>
    <w:next w:val="Normln"/>
    <w:link w:val="Nadpis1Char"/>
    <w:uiPriority w:val="9"/>
    <w:qFormat/>
    <w:pPr>
      <w:keepNext/>
      <w:keepLines/>
      <w:spacing w:after="1"/>
      <w:ind w:left="13" w:hanging="10"/>
      <w:jc w:val="center"/>
      <w:outlineLvl w:val="0"/>
    </w:pPr>
    <w:rPr>
      <w:rFonts w:ascii="Arial" w:eastAsia="Arial" w:hAnsi="Arial" w:cs="Arial"/>
      <w:b/>
      <w:color w:val="000000"/>
      <w:sz w:val="18"/>
    </w:rPr>
  </w:style>
  <w:style w:type="paragraph" w:styleId="Nadpis2">
    <w:name w:val="heading 2"/>
    <w:next w:val="Normln"/>
    <w:link w:val="Nadpis2Char"/>
    <w:uiPriority w:val="9"/>
    <w:unhideWhenUsed/>
    <w:qFormat/>
    <w:pPr>
      <w:keepNext/>
      <w:keepLines/>
      <w:spacing w:after="0" w:line="258" w:lineRule="auto"/>
      <w:ind w:left="13" w:hanging="10"/>
      <w:outlineLvl w:val="1"/>
    </w:pPr>
    <w:rPr>
      <w:rFonts w:ascii="Arial" w:eastAsia="Arial" w:hAnsi="Arial" w:cs="Arial"/>
      <w:b/>
      <w:color w:val="000000"/>
      <w:sz w:val="18"/>
    </w:rPr>
  </w:style>
  <w:style w:type="paragraph" w:styleId="Nadpis3">
    <w:name w:val="heading 3"/>
    <w:next w:val="Normln"/>
    <w:link w:val="Nadpis3Char"/>
    <w:uiPriority w:val="9"/>
    <w:unhideWhenUsed/>
    <w:qFormat/>
    <w:pPr>
      <w:keepNext/>
      <w:keepLines/>
      <w:spacing w:after="0" w:line="258" w:lineRule="auto"/>
      <w:ind w:left="13" w:hanging="10"/>
      <w:outlineLvl w:val="2"/>
    </w:pPr>
    <w:rPr>
      <w:rFonts w:ascii="Arial" w:eastAsia="Arial" w:hAnsi="Arial" w:cs="Arial"/>
      <w:b/>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18"/>
    </w:rPr>
  </w:style>
  <w:style w:type="character" w:customStyle="1" w:styleId="Nadpis2Char">
    <w:name w:val="Nadpis 2 Char"/>
    <w:link w:val="Nadpis2"/>
    <w:rPr>
      <w:rFonts w:ascii="Arial" w:eastAsia="Arial" w:hAnsi="Arial" w:cs="Arial"/>
      <w:b/>
      <w:color w:val="000000"/>
      <w:sz w:val="18"/>
    </w:rPr>
  </w:style>
  <w:style w:type="character" w:customStyle="1" w:styleId="Nadpis3Char">
    <w:name w:val="Nadpis 3 Char"/>
    <w:link w:val="Nadpis3"/>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3333</Words>
  <Characters>19671</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Foubíková Soňa</dc:creator>
  <cp:keywords/>
  <cp:lastModifiedBy>Foubíková Soňa</cp:lastModifiedBy>
  <cp:revision>2</cp:revision>
  <dcterms:created xsi:type="dcterms:W3CDTF">2022-11-30T10:33:00Z</dcterms:created>
  <dcterms:modified xsi:type="dcterms:W3CDTF">2022-11-30T10:33:00Z</dcterms:modified>
</cp:coreProperties>
</file>