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3</w:t>
      </w:r>
      <w:bookmarkEnd w:id="0"/>
      <w:bookmarkEnd w:id="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dílo „Vypracování projektové dokumentace II/353 Žďár n. Sázavou, průtah ul. Vysocká vč.</w:t>
        <w:br/>
        <w:t>křižovatky s ul. Studentská“, ze dne 19. 4. 2021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číslo smlouvy objednatele: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13/2019/PD/D2/VZMR/ZR/sl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723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</w:p>
    <w:tbl>
      <w:tblPr>
        <w:tblOverlap w:val="never"/>
        <w:jc w:val="left"/>
        <w:tblLayout w:type="fixed"/>
      </w:tblPr>
      <w:tblGrid>
        <w:gridCol w:w="1939"/>
        <w:gridCol w:w="6408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strany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 Necid, ředitel organizace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tbl>
      <w:tblPr>
        <w:tblOverlap w:val="never"/>
        <w:jc w:val="left"/>
        <w:tblLayout w:type="fixed"/>
      </w:tblPr>
      <w:tblGrid>
        <w:gridCol w:w="1939"/>
        <w:gridCol w:w="6403"/>
      </w:tblGrid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2074"/>
        <w:gridCol w:w="5088"/>
      </w:tblGrid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APC SILNICE s.r.o.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Jana Babáka 2733/11, Královo Pole, 612 00 Brno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Martinem Rambouskem, jednatelem společnosti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 Krajského soudu v Brně, oddíl C, vložka 15132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tbl>
      <w:tblPr>
        <w:tblOverlap w:val="never"/>
        <w:jc w:val="left"/>
        <w:tblLayout w:type="fixed"/>
      </w:tblPr>
      <w:tblGrid>
        <w:gridCol w:w="2074"/>
        <w:gridCol w:w="5083"/>
      </w:tblGrid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60705981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CZ60705981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widowControl w:val="0"/>
        <w:spacing w:after="69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80" w:right="0" w:hanging="5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vzájemně dohodly na tomto Dodatku č. 3 týkajícího se prodloužení termínu odevzdání čistopisu DUSP z důvodu složitého vyjednávání se správci inženýrských sítí a OŽP Městského úřadu Žďár nad Sázavou v souvislosti s náhradní výsadbou stromů.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580" w:right="0" w:hanging="58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104" w:left="1157" w:right="725" w:bottom="1104" w:header="676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2.2.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této souvislosti se lhůta plnění dle Technických podmínek (Příloha A1 smlouvy) ve znění platných dodatků mění tak,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že původní ujednání, které zní: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2240" w:h="15840"/>
          <w:pgMar w:top="1109" w:left="1723" w:right="2702" w:bottom="1091" w:header="681" w:footer="3" w:gutter="0"/>
          <w:cols w:num="2" w:space="518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Dokumentace DUSP (čistopis, vč. IČ a projednání s DOSS, odsouhlasený s objednatelem):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3 měsíců od předání konceptu DUSP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109" w:left="0" w:right="0" w:bottom="587" w:header="0" w:footer="3" w:gutter="0"/>
          <w:cols w:space="720"/>
          <w:noEndnote/>
          <w:rtlGutter w:val="0"/>
          <w:docGrid w:linePitch="360"/>
        </w:sectPr>
      </w:pPr>
    </w:p>
    <w:p>
      <w:pPr>
        <w:pStyle w:val="Style19"/>
        <w:keepNext/>
        <w:keepLines/>
        <w:framePr w:w="2990" w:h="274" w:wrap="none" w:vAnchor="text" w:hAnchor="page" w:x="172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ujednáním:</w:t>
      </w:r>
      <w:bookmarkEnd w:id="2"/>
      <w:bookmarkEnd w:id="3"/>
    </w:p>
    <w:p>
      <w:pPr>
        <w:pStyle w:val="Style7"/>
        <w:keepNext w:val="0"/>
        <w:keepLines w:val="0"/>
        <w:framePr w:w="3485" w:h="734" w:wrap="none" w:vAnchor="text" w:hAnchor="page" w:x="1724" w:y="7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Dokumentace DUSP (čistopis, vč. IČ a projednání s DOSS, odsouhlasený s objednatelem):</w:t>
      </w:r>
    </w:p>
    <w:p>
      <w:pPr>
        <w:pStyle w:val="Style7"/>
        <w:keepNext w:val="0"/>
        <w:keepLines w:val="0"/>
        <w:framePr w:w="1454" w:h="269" w:wrap="none" w:vAnchor="text" w:hAnchor="page" w:x="5891" w:y="7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31. 12. 2022</w:t>
      </w:r>
    </w:p>
    <w:p>
      <w:pPr>
        <w:pStyle w:val="Style19"/>
        <w:keepNext/>
        <w:keepLines/>
        <w:framePr w:w="878" w:h="278" w:wrap="none" w:vAnchor="text" w:hAnchor="page" w:x="5905" w:y="18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  <w:bookmarkEnd w:id="4"/>
      <w:bookmarkEnd w:id="5"/>
    </w:p>
    <w:p>
      <w:pPr>
        <w:pStyle w:val="Style19"/>
        <w:keepNext/>
        <w:keepLines/>
        <w:framePr w:w="1627" w:h="274" w:wrap="none" w:vAnchor="text" w:hAnchor="page" w:x="5521" w:y="21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  <w:bookmarkEnd w:id="6"/>
      <w:bookmarkEnd w:id="7"/>
    </w:p>
    <w:p>
      <w:pPr>
        <w:pStyle w:val="Style7"/>
        <w:keepNext w:val="0"/>
        <w:keepLines w:val="0"/>
        <w:framePr w:w="10358" w:h="5717" w:wrap="none" w:vAnchor="text" w:hAnchor="page" w:x="1158" w:y="2694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shora citované smlouvy nedotčené Dodatkem č. 3 se nemění a zůstávají v platnosti.</w:t>
      </w:r>
    </w:p>
    <w:p>
      <w:pPr>
        <w:pStyle w:val="Style7"/>
        <w:keepNext w:val="0"/>
        <w:keepLines w:val="0"/>
        <w:framePr w:w="10358" w:h="5717" w:wrap="none" w:vAnchor="text" w:hAnchor="page" w:x="1158" w:y="2694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3.2.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3 je nedílnou součástí smlouvy v aktuálním znění.</w:t>
      </w:r>
    </w:p>
    <w:p>
      <w:pPr>
        <w:pStyle w:val="Style7"/>
        <w:keepNext w:val="0"/>
        <w:keepLines w:val="0"/>
        <w:framePr w:w="10358" w:h="5717" w:wrap="none" w:vAnchor="text" w:hAnchor="page" w:x="1158" w:y="2694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3.3.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3 je vyhotoven v elektronické podobě, přičemž obě smluvní strany obdrží jeho elektronický originál.</w:t>
      </w:r>
    </w:p>
    <w:p>
      <w:pPr>
        <w:pStyle w:val="Style7"/>
        <w:keepNext w:val="0"/>
        <w:keepLines w:val="0"/>
        <w:framePr w:w="10358" w:h="5717" w:wrap="none" w:vAnchor="text" w:hAnchor="page" w:x="1158" w:y="2694"/>
        <w:widowControl w:val="0"/>
        <w:numPr>
          <w:ilvl w:val="0"/>
          <w:numId w:val="1"/>
        </w:numPr>
        <w:shd w:val="clear" w:color="auto" w:fill="auto"/>
        <w:tabs>
          <w:tab w:pos="571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3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platný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7"/>
        <w:keepNext w:val="0"/>
        <w:keepLines w:val="0"/>
        <w:framePr w:w="10358" w:h="5717" w:wrap="none" w:vAnchor="text" w:hAnchor="page" w:x="1158" w:y="2694"/>
        <w:widowControl w:val="0"/>
        <w:numPr>
          <w:ilvl w:val="0"/>
          <w:numId w:val="1"/>
        </w:numPr>
        <w:shd w:val="clear" w:color="auto" w:fill="auto"/>
        <w:tabs>
          <w:tab w:pos="571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3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účinný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jeho uveřejnění v registru smluv.</w:t>
      </w:r>
    </w:p>
    <w:p>
      <w:pPr>
        <w:pStyle w:val="Style7"/>
        <w:keepNext w:val="0"/>
        <w:keepLines w:val="0"/>
        <w:framePr w:w="10358" w:h="5717" w:wrap="none" w:vAnchor="text" w:hAnchor="page" w:x="1158" w:y="2694"/>
        <w:widowControl w:val="0"/>
        <w:numPr>
          <w:ilvl w:val="0"/>
          <w:numId w:val="1"/>
        </w:numPr>
        <w:shd w:val="clear" w:color="auto" w:fill="auto"/>
        <w:tabs>
          <w:tab w:pos="571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3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7"/>
        <w:keepNext w:val="0"/>
        <w:keepLines w:val="0"/>
        <w:framePr w:w="10358" w:h="5717" w:wrap="none" w:vAnchor="text" w:hAnchor="page" w:x="1158" w:y="2694"/>
        <w:widowControl w:val="0"/>
        <w:numPr>
          <w:ilvl w:val="0"/>
          <w:numId w:val="1"/>
        </w:numPr>
        <w:shd w:val="clear" w:color="auto" w:fill="auto"/>
        <w:tabs>
          <w:tab w:pos="557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7"/>
        <w:keepNext w:val="0"/>
        <w:keepLines w:val="0"/>
        <w:framePr w:w="10358" w:h="5717" w:wrap="none" w:vAnchor="text" w:hAnchor="page" w:x="1158" w:y="2694"/>
        <w:widowControl w:val="0"/>
        <w:numPr>
          <w:ilvl w:val="0"/>
          <w:numId w:val="1"/>
        </w:numPr>
        <w:shd w:val="clear" w:color="auto" w:fill="auto"/>
        <w:tabs>
          <w:tab w:pos="557" w:val="left"/>
        </w:tabs>
        <w:bidi w:val="0"/>
        <w:spacing w:before="0" w:after="46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3 byl sepsán na základě pravdivých údajů, z jejich pravé a svobodné vůle a nebyl uzavřen v tísni za jednostranně nevýhodných podmínek.</w:t>
      </w:r>
    </w:p>
    <w:p>
      <w:pPr>
        <w:pStyle w:val="Style7"/>
        <w:keepNext w:val="0"/>
        <w:keepLines w:val="0"/>
        <w:framePr w:w="10358" w:h="5717" w:wrap="none" w:vAnchor="text" w:hAnchor="page" w:x="1158" w:y="2694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7"/>
        <w:keepNext w:val="0"/>
        <w:keepLines w:val="0"/>
        <w:framePr w:w="662" w:h="269" w:wrap="none" w:vAnchor="text" w:hAnchor="page" w:x="1998" w:y="93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Brně</w:t>
      </w:r>
    </w:p>
    <w:p>
      <w:pPr>
        <w:pStyle w:val="Style7"/>
        <w:keepNext w:val="0"/>
        <w:keepLines w:val="0"/>
        <w:framePr w:w="854" w:h="269" w:wrap="none" w:vAnchor="text" w:hAnchor="page" w:x="6788" w:y="93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</w:t>
      </w:r>
    </w:p>
    <w:p>
      <w:pPr>
        <w:pStyle w:val="Style7"/>
        <w:keepNext w:val="0"/>
        <w:keepLines w:val="0"/>
        <w:framePr w:w="2131" w:h="730" w:wrap="none" w:vAnchor="text" w:hAnchor="page" w:x="3246" w:y="109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Martin Rambousek</w:t>
        <w:br/>
        <w:t>jednatel společnosti</w:t>
      </w:r>
    </w:p>
    <w:p>
      <w:pPr>
        <w:pStyle w:val="Style7"/>
        <w:keepNext w:val="0"/>
        <w:keepLines w:val="0"/>
        <w:framePr w:w="2131" w:h="730" w:wrap="none" w:vAnchor="text" w:hAnchor="page" w:x="3246" w:y="109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APC SILNICE s.r.o.</w:t>
      </w:r>
    </w:p>
    <w:p>
      <w:pPr>
        <w:pStyle w:val="Style7"/>
        <w:keepNext w:val="0"/>
        <w:keepLines w:val="0"/>
        <w:framePr w:w="3624" w:h="960" w:wrap="none" w:vAnchor="text" w:hAnchor="page" w:x="7273" w:y="109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</w:t>
        <w:br/>
        <w:t>ředitel organizace</w:t>
      </w:r>
    </w:p>
    <w:p>
      <w:pPr>
        <w:pStyle w:val="Style7"/>
        <w:keepNext w:val="0"/>
        <w:keepLines w:val="0"/>
        <w:framePr w:w="3624" w:h="960" w:wrap="none" w:vAnchor="text" w:hAnchor="page" w:x="7273" w:y="109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</w:t>
        <w:br/>
        <w:t>příspěvková organizace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5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1109" w:left="1157" w:right="725" w:bottom="58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3303905</wp:posOffset>
              </wp:positionH>
              <wp:positionV relativeFrom="page">
                <wp:posOffset>9622790</wp:posOffset>
              </wp:positionV>
              <wp:extent cx="667385" cy="10668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738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0.14999999999998pt;margin-top:757.70000000000005pt;width:52.549999999999997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9578340</wp:posOffset>
              </wp:positionV>
              <wp:extent cx="6577330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73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54.20000000000005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4"/>
      <w:numFmt w:val="decimal"/>
      <w:lvlText w:val="3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Jiné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Nadpis #2_"/>
    <w:basedOn w:val="DefaultParagraphFont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after="10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Nadpis #2"/>
    <w:basedOn w:val="Normal"/>
    <w:link w:val="CharStyle20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Ondráčková Dita</dc:creator>
  <cp:keywords/>
</cp:coreProperties>
</file>