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90" w:left="7550" w:right="1143" w:bottom="1559" w:header="16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KRAJSKÁ SPRÁVA A ÚDRŽBA SILNIC VYSOČINY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52730" distL="114300" distR="114300" simplePos="0" relativeHeight="125829378" behindDoc="0" locked="0" layoutInCell="1" allowOverlap="1">
                <wp:simplePos x="0" y="0"/>
                <wp:positionH relativeFrom="page">
                  <wp:posOffset>4794250</wp:posOffset>
                </wp:positionH>
                <wp:positionV relativeFrom="paragraph">
                  <wp:posOffset>12700</wp:posOffset>
                </wp:positionV>
                <wp:extent cx="1203960" cy="289560"/>
                <wp:wrapSquare wrapText="lef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3960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1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příspěvková organizace 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77.5pt;margin-top:1.pt;width:94.799999999999997pt;height:22.800000000000001pt;z-index:-125829375;mso-wrap-distance-left:9.pt;mso-wrap-distance-right:9.pt;mso-wrap-distance-bottom:19.8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1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příspěvková organizace SMLOUVA REGISTROVÁNA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411480" distB="0" distL="120650" distR="781685" simplePos="0" relativeHeight="125829380" behindDoc="0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424180</wp:posOffset>
                </wp:positionV>
                <wp:extent cx="530225" cy="130810"/>
                <wp:wrapSquare wrapText="left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78.pt;margin-top:33.399999999999999pt;width:41.75pt;height:10.300000000000001pt;z-index:-125829373;mso-wrap-distance-left:9.5pt;mso-wrap-distance-top:32.399999999999999pt;mso-wrap-distance-right:61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53975" distB="535940" distL="114300" distR="5213350" simplePos="0" relativeHeight="125829382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2152015</wp:posOffset>
                </wp:positionV>
                <wp:extent cx="753110" cy="44831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Objednatel: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se sídlem: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58.299999999999997pt;margin-top:169.44999999999999pt;width:59.299999999999997pt;height:35.299999999999997pt;z-index:-125829371;mso-wrap-distance-left:9.pt;mso-wrap-distance-top:4.25pt;mso-wrap-distance-right:410.5pt;mso-wrap-distance-bottom:42.20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Objednatel: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se sídlem: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800" distB="401955" distL="1418590" distR="1915795" simplePos="0" relativeHeight="125829384" behindDoc="0" locked="0" layoutInCell="1" allowOverlap="1">
                <wp:simplePos x="0" y="0"/>
                <wp:positionH relativeFrom="page">
                  <wp:posOffset>2044700</wp:posOffset>
                </wp:positionH>
                <wp:positionV relativeFrom="paragraph">
                  <wp:posOffset>2148840</wp:posOffset>
                </wp:positionV>
                <wp:extent cx="2746375" cy="58547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46375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CEREA a.s.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Dělnická 384, 531 25 Pardubice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František Turek, předseda představenstva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Petr Hájek, člen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61.pt;margin-top:169.19999999999999pt;width:216.25pt;height:46.100000000000001pt;z-index:-125829369;mso-wrap-distance-left:111.7pt;mso-wrap-distance-top:4.pt;mso-wrap-distance-right:150.84999999999999pt;mso-wrap-distance-bottom:31.64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CEREA a.s.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Dělnická 384, 531 25 Pardubice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František Turek, předseda představenstva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Petr Hájek, člen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02615" distB="124460" distL="114300" distR="1894205" simplePos="0" relativeHeight="125829386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2700655</wp:posOffset>
                </wp:positionV>
                <wp:extent cx="4072255" cy="31115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7225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Osoba odpovědná jednat jménem objednatele ve věcech technických Osoba odpovědná jednat jménem objednatele při předání a převzetí prací: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8.299999999999997pt;margin-top:212.65000000000001pt;width:320.64999999999998pt;height:24.5pt;z-index:-125829367;mso-wrap-distance-left:9.pt;mso-wrap-distance-top:47.450000000000003pt;mso-wrap-distance-right:149.15000000000001pt;mso-wrap-distance-bottom:9.800000000000000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Osoba odpovědná jednat jménem objednatele ve věcech technických Osoba odpovědná jednat jménem objednatele při předání a převzetí prací: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87375" distB="158115" distL="4982210" distR="114300" simplePos="0" relativeHeight="125829388" behindDoc="0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2685415</wp:posOffset>
                </wp:positionV>
                <wp:extent cx="984250" cy="292735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 ředitel vedoucí střediska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41.60000000000002pt;margin-top:211.44999999999999pt;width:77.5pt;height:23.050000000000001pt;z-index:-125829365;mso-wrap-distance-left:392.30000000000001pt;mso-wrap-distance-top:46.25pt;mso-wrap-distance-right:9.pt;mso-wrap-distance-bottom:12.44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 ředitel vedoucí střediska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2650" distB="0" distL="117475" distR="5423535" simplePos="0" relativeHeight="125829390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2980690</wp:posOffset>
                </wp:positionV>
                <wp:extent cx="539750" cy="15557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975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Chotěboř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58.549999999999997pt;margin-top:234.69999999999999pt;width:42.5pt;height:12.25pt;z-index:-125829363;mso-wrap-distance-left:9.25pt;mso-wrap-distance-top:69.5pt;mso-wrap-distance-right:427.05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Chotěboř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Krajská správa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a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údržba Silme Vysočiny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 KE SMLOUVĚ O DÍLO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„CEREA a.s. - Chotěboř, oprava účelových komunikací“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90" w:left="1157" w:right="1239" w:bottom="1559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127000</wp:posOffset>
                </wp:positionV>
                <wp:extent cx="1344295" cy="579120"/>
                <wp:wrapSquare wrapText="left"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4295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46504940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CZ46504940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fficerea.cz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61.05000000000001pt;margin-top:10.pt;width:105.84999999999999pt;height:45.60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46504940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CZ46504940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12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fficerea.cz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objednatel)</w:t>
      </w:r>
    </w:p>
    <w:tbl>
      <w:tblPr>
        <w:tblOverlap w:val="never"/>
        <w:jc w:val="left"/>
        <w:tblLayout w:type="fixed"/>
      </w:tblPr>
      <w:tblGrid>
        <w:gridCol w:w="1882"/>
        <w:gridCol w:w="6806"/>
      </w:tblGrid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Ing. Radovan Necid, ředitelem organizace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5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zhotovitele ve věcech technických:</w:t>
        <w:tab/>
        <w:t>vedoucí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Chotěboř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9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zhotovitele při předání a převzetí prací:</w:t>
        <w:tab/>
        <w:t>vedoucí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Chotěboř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82"/>
        <w:gridCol w:w="6806"/>
      </w:tblGrid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 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82"/>
        <w:gridCol w:w="6806"/>
      </w:tblGrid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82"/>
        <w:gridCol w:w="6806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zhotovitel)</w:t>
      </w:r>
    </w:p>
    <w:p>
      <w:pPr>
        <w:widowControl w:val="0"/>
        <w:spacing w:after="1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dohodly, že jejich závazkový vztah ve smyslu §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2586 a násl. zákona č. 89/2012 Sb., Občanského zákoníku, v platném znění (dále jen „NOZ“)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řídí tímto zákonem a na shora uvedenou zakázku na stavební práce uzavírají dnešního dne měsíce a roku tento Dodatek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„Dodatek“).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  <w:br/>
        <w:t>Předmět rozsah a cena díla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SOD čl. 14.1. se mění čl. 4.1. následovně: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86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4648200</wp:posOffset>
                </wp:positionH>
                <wp:positionV relativeFrom="paragraph">
                  <wp:posOffset>12700</wp:posOffset>
                </wp:positionV>
                <wp:extent cx="557530" cy="435610"/>
                <wp:wrapSquare wrapText="left"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753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473.630,-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34.944,-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508.574,-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66.pt;margin-top:1.pt;width:43.899999999999999pt;height:34.299999999999997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473.630,-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34.944,-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508.574,-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dle SOD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 (práce provedené nad rámec rozpočtu)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cena dle Dodatku č.1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Cenyjsou uvedeny bez DPH.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dodatku č.1 je vyčíslení skutečně provedených prací.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30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Krajská správa a údržba silme Vysočiny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dle původní SOD zůstávají v platnosti beze změny.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12700</wp:posOffset>
                </wp:positionV>
                <wp:extent cx="1347470" cy="164465"/>
                <wp:wrapSquare wrapText="left"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74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Jihlavě dne: </w:t>
                            </w:r>
                            <w:r>
                              <w:rPr>
                                <w:color w:val="797595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$ • \O •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40.44999999999999pt;margin-top:1.pt;width:106.09999999999999pt;height:12.949999999999999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Jihlavě dne: </w:t>
                      </w:r>
                      <w:r>
                        <w:rPr>
                          <w:color w:val="79759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$ • \O •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016000" distB="149225" distL="114300" distR="3214370" simplePos="0" relativeHeight="125829398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margin">
                  <wp:posOffset>2971800</wp:posOffset>
                </wp:positionV>
                <wp:extent cx="2545080" cy="323215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508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František Tufek, předseda představenstva Cerea,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68.5pt;margin-top:234.pt;width:200.40000000000001pt;height:25.449999999999999pt;z-index:-125829355;mso-wrap-distance-left:9.pt;mso-wrap-distance-top:80.pt;mso-wrap-distance-right:253.09999999999999pt;mso-wrap-distance-bottom:11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František Tufek, předseda představenstva Cerea, a.s.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4415" distB="0" distL="3567430" distR="114935" simplePos="0" relativeHeight="125829400" behindDoc="0" locked="0" layoutInCell="1" allowOverlap="1">
                <wp:simplePos x="0" y="0"/>
                <wp:positionH relativeFrom="page">
                  <wp:posOffset>4323080</wp:posOffset>
                </wp:positionH>
                <wp:positionV relativeFrom="margin">
                  <wp:posOffset>2990215</wp:posOffset>
                </wp:positionV>
                <wp:extent cx="2191385" cy="454025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454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Necid, řectitel organizace Krajská správa a údržba silnic Vysočiny, 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40.39999999999998pt;margin-top:235.44999999999999pt;width:172.55000000000001pt;height:35.75pt;z-index:-125829353;mso-wrap-distance-left:280.89999999999998pt;mso-wrap-distance-top:81.450000000000003pt;mso-wrap-distance-right:9.050000000000000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Necid, řectitel organizace Krajská správa a údržba silnic Vysočiny, příspěvková organizace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Pardubicích dne: </w:t>
      </w:r>
      <w:r>
        <w:rPr>
          <w:color w:val="797595"/>
          <w:spacing w:val="0"/>
          <w:w w:val="100"/>
          <w:position w:val="0"/>
          <w:shd w:val="clear" w:color="auto" w:fill="auto"/>
          <w:lang w:val="cs-CZ" w:eastAsia="cs-CZ" w:bidi="cs-CZ"/>
        </w:rPr>
        <w:t>o \o-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91" w:left="1053" w:right="1342" w:bottom="1558" w:header="16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Petr Hájek! 4len představenstva Cerea,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Položkový rozpočet - skutečně provedené práce</w:t>
      </w:r>
      <w:bookmarkEnd w:id="0"/>
      <w:bookmarkEnd w:id="1"/>
    </w:p>
    <w:p>
      <w:pPr>
        <w:pStyle w:val="Style14"/>
        <w:keepNext w:val="0"/>
        <w:keepLines w:val="0"/>
        <w:widowControl w:val="0"/>
        <w:shd w:val="clear" w:color="auto" w:fill="auto"/>
        <w:tabs>
          <w:tab w:pos="1157" w:val="left"/>
          <w:tab w:leader="underscore" w:pos="1824" w:val="left"/>
          <w:tab w:leader="underscore" w:pos="10666" w:val="left"/>
          <w:tab w:pos="12120" w:val="left"/>
          <w:tab w:pos="13162" w:val="left"/>
        </w:tabs>
        <w:bidi w:val="0"/>
        <w:spacing w:before="0" w:after="0" w:line="240" w:lineRule="auto"/>
        <w:ind w:left="5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 :</w:t>
        <w:tab/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16"/>
          <w:szCs w:val="16"/>
          <w:u w:val="single"/>
          <w:shd w:val="clear" w:color="auto" w:fill="auto"/>
          <w:lang w:val="cs-CZ" w:eastAsia="cs-CZ" w:bidi="cs-CZ"/>
        </w:rPr>
        <w:t>CEREA a.S. - Chotěboř, oprava UK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  <w:u w:val="single"/>
          <w:shd w:val="clear" w:color="auto" w:fill="auto"/>
          <w:lang w:val="cs-CZ" w:eastAsia="cs-CZ" w:bidi="cs-CZ"/>
        </w:rPr>
        <w:t>508 574,00</w:t>
        <w:tab/>
        <w:t>106 800,54</w:t>
        <w:tab/>
        <w:t>615 374,54</w:t>
      </w:r>
    </w:p>
    <w:tbl>
      <w:tblPr>
        <w:tblOverlap w:val="never"/>
        <w:jc w:val="center"/>
        <w:tblLayout w:type="fixed"/>
      </w:tblPr>
      <w:tblGrid>
        <w:gridCol w:w="509"/>
        <w:gridCol w:w="1306"/>
        <w:gridCol w:w="5990"/>
        <w:gridCol w:w="715"/>
        <w:gridCol w:w="1075"/>
        <w:gridCol w:w="1114"/>
        <w:gridCol w:w="1123"/>
        <w:gridCol w:w="1147"/>
        <w:gridCol w:w="1133"/>
      </w:tblGrid>
      <w:tr>
        <w:trPr>
          <w:trHeight w:val="1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Poř. č. pol.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22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Celkem s 21%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</w:t>
            </w:r>
          </w:p>
        </w:tc>
      </w:tr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DDFE2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a název rozpočtu: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DDFE2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SO01 - Oprava UK, ACHP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DDF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DDF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DDF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DDFE2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508 574,00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DDFE2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106 800,54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615 374,54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Všeobecné konstrukce a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035103005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Finišerova sestava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finišerové sestavy - finišer, válce, přeprava, pomocné práce, apod. Pronájem finišerové sestavy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66 550,00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■H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MBMMB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■■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cs-CZ" w:eastAsia="cs-CZ" w:bidi="cs-CZ"/>
              </w:rPr>
              <w:t>—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■■■n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DDF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113154223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Zemni práce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živičného krytu tl 50 mm pruh š 1 m pl do 1000 m2 bez překážek v trase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živičného podkladu nebo krytu s naložením na dopravní prostředek plochy přes 500 do 1 000 m2 bez překážek v trase pruhu šířky do 1 m, tloušťky vrstvy 50 mm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stávající živice tl. 5cm s naložením na dopravní prostedky a odvozu na skládku objednatele do vzd. 3km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53 635,00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11 263,35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64 898,35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mallCap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hbbbbJ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RBBB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■■■BM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573231108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Postřik živičný spojovací ze silniční emulze v množství 0,50 kg/m2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Postřik spojovací PS bez posypu kamenivem ze silniční emulze, v množství 0,50 kg/m2 Spojovací postřik z asf. emulze C65B3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15 775,00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3 312,75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19 087,75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577144111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obrusná ACO 11 (ABS) tř. I tl 50 mm š do 3 m z nemodifikovaného asfaltu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obrusná ACO 11 (ABS) s rozprostřením a se zhutněním z nemodifikovaného asfaltu v pruhu šířky do 3 m tř. I, po zhutnění tl. 50 mm Dodávka asf. betonu ACO11+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306 782,00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64 424,22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371 206,22</w:t>
            </w:r>
          </w:p>
        </w:tc>
      </w:tr>
      <w:tr>
        <w:trPr>
          <w:trHeight w:val="8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obrusná ACO 11 (ABS) tř. I tl 50 mm š do 3 m z nemodifikovaného asfaltu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obrusná ACO 11 (ABS) s rozprostřením a se zhutněním z nemodifikovaného asfaltu v pruhu šířky do 3 m tř. I, po zhutnění tl. 50 mm Dodávka asf. betonu AC011+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DDFE2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40 392,00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8 482,32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48 874,32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■■■■i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smallCap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bhibmb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HHHBM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mallCap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^hbbhe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899231111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uličního vstupu nebo vpusti do 200 mm zvýšením poklopu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uličního vstupu nebo vpusti do 200 mm zvýšením poklopu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kanalizačního poklopu do nové nivelety 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5 082,00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62676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&lt;200,00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626767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26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882,00I</w:t>
              <w:tab/>
              <w:t>5 082,00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konstrukce a práce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leader="underscore" w:pos="1090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I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123"/>
        <w:gridCol w:w="5117"/>
      </w:tblGrid>
      <w:tr>
        <w:trPr>
          <w:trHeight w:val="8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 obsahuje: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rámci realizace opravy účelových komunikací bude provedeno: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SOQ1: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Vyfrézování stávající živice tl. 5cm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Pokládka nové obrusné vrstvy ACO11+ vč. zalití pracovních spař asf. zálivkou Výšková úprava kanalizačního poklopu</w:t>
            </w:r>
          </w:p>
        </w:tc>
      </w:tr>
    </w:tbl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05"/>
        <w:gridCol w:w="3648"/>
      </w:tblGrid>
      <w:tr>
        <w:trPr>
          <w:trHeight w:val="5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 neobsahuje: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Přechodné dopravní značení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Laboratorní zkoušky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Odvodnění komunikace, odtokové poměry jsou stávající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970"/>
        <w:gridCol w:w="12394"/>
      </w:tblGrid>
      <w:tr>
        <w:trPr>
          <w:trHeight w:val="3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Fakturováno bude skutečně provedené množství prací dle jednotlových cen. V případě nadspotřeby asfaltového betonu bude účtována Jednotná sazba za zpracovanou tunu asfaltového betonu (3.400,-/t)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Záruka na provedené dílo se poskytuje v délce 12-ti měsíců. Záruka se nevztahuje na podkladní vrstvy komunikace resp. na jejich únosnost a na následné vady pokládaných asfaltových vrstev těmito (podkladními) vrstvami způsobené.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9/2022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31.08.2022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distT="384175" distB="3022600" distL="431165" distR="8237220" simplePos="0" relativeHeight="125829402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margin">
                  <wp:posOffset>344805</wp:posOffset>
                </wp:positionV>
                <wp:extent cx="478790" cy="125095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879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938909311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89.200000000000003pt;margin-top:27.149999999999999pt;width:37.700000000000003pt;height:9.8499999999999996pt;z-index:-125829351;mso-wrap-distance-left:33.950000000000003pt;mso-wrap-distance-top:30.25pt;mso-wrap-distance-right:648.60000000000002pt;mso-wrap-distance-bottom:23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938909311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7785" distB="2739390" distL="1242060" distR="4164965" simplePos="0" relativeHeight="125829404" behindDoc="0" locked="0" layoutInCell="1" allowOverlap="1">
                <wp:simplePos x="0" y="0"/>
                <wp:positionH relativeFrom="page">
                  <wp:posOffset>1943735</wp:posOffset>
                </wp:positionH>
                <wp:positionV relativeFrom="margin">
                  <wp:posOffset>18415</wp:posOffset>
                </wp:positionV>
                <wp:extent cx="3740150" cy="734695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40150" cy="734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Čištění vozovek metením strojně podkladu nebo krytu betonového nebo živičného Čištění vozovek metením bláta, prachu nebo hlinitého nánosu s odklizením na hromady na vzdálenost do 20 m nebo naložením na dopravní prostředek strojně povrchu podkladu nebo krytu betonového nebo živičného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Strojní metení se samosběrem - zametení podkladu po frézování a před aplikací spojovacího mezi střiku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53.05000000000001pt;margin-top:1.45pt;width:294.5pt;height:57.850000000000001pt;z-index:-125829349;mso-wrap-distance-left:97.799999999999997pt;mso-wrap-distance-top:4.5499999999999998pt;mso-wrap-distance-right:327.94999999999999pt;mso-wrap-distance-bottom:215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Čištění vozovek metením strojně podkladu nebo krytu betonového nebo živičného Čištění vozovek metením bláta, prachu nebo hlinitého nánosu s odklizením na hromady na vzdálenost do 20 m nebo naložením na dopravní prostředek strojně povrchu podkladu nebo krytu betonového nebo živičného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Strojní metení se samosběrem - zametení podkladu po frézování a před aplikací spojovacího mezi střiku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42670" distB="2364105" distL="784860" distR="8243570" simplePos="0" relativeHeight="125829406" behindDoc="0" locked="0" layoutInCell="1" allowOverlap="1">
                <wp:simplePos x="0" y="0"/>
                <wp:positionH relativeFrom="page">
                  <wp:posOffset>1486535</wp:posOffset>
                </wp:positionH>
                <wp:positionV relativeFrom="margin">
                  <wp:posOffset>1003300</wp:posOffset>
                </wp:positionV>
                <wp:extent cx="118745" cy="125095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74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17.05pt;margin-top:79.pt;width:9.3499999999999996pt;height:9.8499999999999996pt;z-index:-125829347;mso-wrap-distance-left:61.799999999999997pt;mso-wrap-distance-top:82.099999999999994pt;mso-wrap-distance-right:649.10000000000002pt;mso-wrap-distance-bottom:186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25880" distB="2080895" distL="431165" distR="8237220" simplePos="0" relativeHeight="125829408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margin">
                  <wp:posOffset>1286510</wp:posOffset>
                </wp:positionV>
                <wp:extent cx="478790" cy="125095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879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919122111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89.200000000000003pt;margin-top:101.3pt;width:37.700000000000003pt;height:9.8499999999999996pt;z-index:-125829345;mso-wrap-distance-left:33.950000000000003pt;mso-wrap-distance-top:104.40000000000001pt;mso-wrap-distance-right:648.60000000000002pt;mso-wrap-distance-bottom:163.8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919122111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71015" distB="1635760" distL="434340" distR="8234045" simplePos="0" relativeHeight="125829410" behindDoc="0" locked="0" layoutInCell="1" allowOverlap="1">
                <wp:simplePos x="0" y="0"/>
                <wp:positionH relativeFrom="page">
                  <wp:posOffset>1136015</wp:posOffset>
                </wp:positionH>
                <wp:positionV relativeFrom="margin">
                  <wp:posOffset>1731645</wp:posOffset>
                </wp:positionV>
                <wp:extent cx="478790" cy="125095"/>
                <wp:wrapTopAndBottom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879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919122111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89.450000000000003pt;margin-top:136.34999999999999pt;width:37.700000000000003pt;height:9.8499999999999996pt;z-index:-125829343;mso-wrap-distance-left:34.200000000000003pt;mso-wrap-distance-top:139.44999999999999pt;mso-wrap-distance-right:648.35000000000002pt;mso-wrap-distance-bottom:128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919122111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194560" distB="1188085" distL="410210" distR="8234045" simplePos="0" relativeHeight="125829412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margin">
                  <wp:posOffset>2155190</wp:posOffset>
                </wp:positionV>
                <wp:extent cx="502920" cy="149225"/>
                <wp:wrapTopAndBottom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919122111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87.549999999999997pt;margin-top:169.69999999999999pt;width:39.600000000000001pt;height:11.75pt;z-index:-125829341;mso-wrap-distance-left:32.299999999999997pt;mso-wrap-distance-top:172.80000000000001pt;mso-wrap-distance-right:648.35000000000002pt;mso-wrap-distance-bottom:93.5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919122111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9495" distB="1017270" distL="1233170" distR="4256405" simplePos="0" relativeHeight="125829414" behindDoc="0" locked="0" layoutInCell="1" allowOverlap="1">
                <wp:simplePos x="0" y="0"/>
                <wp:positionH relativeFrom="page">
                  <wp:posOffset>1934845</wp:posOffset>
                </wp:positionH>
                <wp:positionV relativeFrom="margin">
                  <wp:posOffset>1000125</wp:posOffset>
                </wp:positionV>
                <wp:extent cx="3657600" cy="1475105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57600" cy="1475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5328" w:val="left"/>
                                <w:tab w:leader="underscore" w:pos="5640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Doplňující 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onstrukc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e a práce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Těsnění spár zálivkou za tepla pro komůrky š 10 mm hl 10 mm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Utěsnění dilatačních spár zálivkou za tepla v cementobetonovém nebo živičném krytu, pro komůrky šířky 10 mm, hloubky 20 mm vč. frézování spař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5054" w:val="left"/>
                                <w:tab w:leader="underscore" w:pos="5650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Vodotěsně utěsnění spař modifikov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anou asf.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zálivkou za 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orka</w:t>
                              <w:tab/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Těsnění spár zálivkou za tepla pro komůrky š 10 mm hl 10 mm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Utěsnění dilatačních spár zálivkou za tepla v cementobetonovém nebo živičném krytu, pro komůrky šířky 10 mm, hloubky 20 mm vč. frézování spař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4843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Vodotěsné utěsnění spař modifikovanou asf. zálivkou za horka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Těsnění spár zálivkou za tepla pro komůrky š 10 mm hl 10 mm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Utěsnění dilatačních spár zálivkou za tepla v cementobetonovém nebo živičném krytu, pro | komůrky šířky 10 mm, hloubky 20 mm vč. frézování spař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| Vodotěsné utěsnění spař modifikovanou asf. zálivkou za horka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152.34999999999999pt;margin-top:78.75pt;width:288.pt;height:116.15000000000001pt;z-index:-125829339;mso-wrap-distance-left:97.099999999999994pt;mso-wrap-distance-top:81.849999999999994pt;mso-wrap-distance-right:335.14999999999998pt;mso-wrap-distance-bottom:80.09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5328" w:val="left"/>
                          <w:tab w:leader="underscore" w:pos="5640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Doplňující 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onstrukc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e a práce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 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Těsnění spár zálivkou za tepla pro komůrky š 10 mm hl 10 mm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Utěsnění dilatačních spár zálivkou za tepla v cementobetonovém nebo živičném krytu, pro komůrky šířky 10 mm, hloubky 20 mm vč. frézování spař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5054" w:val="left"/>
                          <w:tab w:leader="underscore" w:pos="5650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Vodotěsně utěsnění spař modifikov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anou asf.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zálivkou za 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orka</w:t>
                        <w:tab/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Těsnění spár zálivkou za tepla pro komůrky š 10 mm hl 10 mm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Utěsnění dilatačních spár zálivkou za tepla v cementobetonovém nebo živičném krytu, pro komůrky šířky 10 mm, hloubky 20 mm vč. frézování spař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4843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Vodotěsné utěsnění spař modifikovanou asf. zálivkou za horka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Těsnění spár zálivkou za tepla pro komůrky š 10 mm hl 10 mm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Utěsnění dilatačních spár zálivkou za tepla v cementobetonovém nebo živičném krytu, pro | komůrky šířky 10 mm, hloubky 20 mm vč. frézování spař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| Vodotěsné utěsnění spař modifikovanou asf. zálivkou za horka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12065" distB="1651000" distL="5070475" distR="126365" simplePos="0" relativeHeight="125829416" behindDoc="0" locked="0" layoutInCell="1" allowOverlap="1">
            <wp:simplePos x="0" y="0"/>
            <wp:positionH relativeFrom="page">
              <wp:posOffset>5772150</wp:posOffset>
            </wp:positionH>
            <wp:positionV relativeFrom="margin">
              <wp:posOffset>-27305</wp:posOffset>
            </wp:positionV>
            <wp:extent cx="3950335" cy="1871345"/>
            <wp:wrapTopAndBottom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3950335" cy="1871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5723255</wp:posOffset>
                </wp:positionH>
                <wp:positionV relativeFrom="margin">
                  <wp:posOffset>-39370</wp:posOffset>
                </wp:positionV>
                <wp:extent cx="64135" cy="109855"/>
                <wp:wrapNone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13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450.64999999999998pt;margin-top:-3.1000000000000001pt;width:5.0499999999999998pt;height:8.6500000000000004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9286240</wp:posOffset>
                </wp:positionH>
                <wp:positionV relativeFrom="margin">
                  <wp:posOffset>1256030</wp:posOffset>
                </wp:positionV>
                <wp:extent cx="417830" cy="128270"/>
                <wp:wrapNone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17 046,48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731.20000000000005pt;margin-top:98.900000000000006pt;width:32.899999999999999pt;height:10.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17 046,48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7881620</wp:posOffset>
                </wp:positionH>
                <wp:positionV relativeFrom="margin">
                  <wp:posOffset>1271270</wp:posOffset>
                </wp:positionV>
                <wp:extent cx="423545" cy="125095"/>
                <wp:wrapNone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14 088,00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620.60000000000002pt;margin-top:100.09999999999999pt;width:33.350000000000001pt;height:9.8499999999999996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14 088,00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7299325</wp:posOffset>
                </wp:positionH>
                <wp:positionV relativeFrom="margin">
                  <wp:posOffset>1274445</wp:posOffset>
                </wp:positionV>
                <wp:extent cx="295910" cy="125095"/>
                <wp:wrapNone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574.75pt;margin-top:100.34999999999999pt;width:23.300000000000001pt;height:9.8499999999999996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9253220</wp:posOffset>
                </wp:positionH>
                <wp:positionV relativeFrom="margin">
                  <wp:posOffset>1703705</wp:posOffset>
                </wp:positionV>
                <wp:extent cx="457200" cy="128270"/>
                <wp:wrapNone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20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-17 046,48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728.60000000000002pt;margin-top:134.15000000000001pt;width:36.pt;height:10.1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-17 046,48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8634095</wp:posOffset>
                </wp:positionH>
                <wp:positionV relativeFrom="margin">
                  <wp:posOffset>1710055</wp:posOffset>
                </wp:positionV>
                <wp:extent cx="405130" cy="128270"/>
                <wp:wrapNone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51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-2 958,48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679.85000000000002pt;margin-top:134.65000000000001pt;width:31.899999999999999pt;height:10.1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-2 958,48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7805420</wp:posOffset>
                </wp:positionH>
                <wp:positionV relativeFrom="margin">
                  <wp:posOffset>1718945</wp:posOffset>
                </wp:positionV>
                <wp:extent cx="499745" cy="125095"/>
                <wp:wrapNone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- 14 088,00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614.60000000000002pt;margin-top:135.34999999999999pt;width:39.350000000000001pt;height:9.8499999999999996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- 14 088,00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5765800</wp:posOffset>
                </wp:positionH>
                <wp:positionV relativeFrom="margin">
                  <wp:posOffset>1731645</wp:posOffset>
                </wp:positionV>
                <wp:extent cx="109855" cy="125095"/>
                <wp:wrapNone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454.pt;margin-top:136.34999999999999pt;width:8.6500000000000004pt;height:9.8499999999999996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2030095" distB="1020445" distL="5497195" distR="2933700" simplePos="0" relativeHeight="125829417" behindDoc="0" locked="0" layoutInCell="1" allowOverlap="1">
            <wp:simplePos x="0" y="0"/>
            <wp:positionH relativeFrom="page">
              <wp:posOffset>6198870</wp:posOffset>
            </wp:positionH>
            <wp:positionV relativeFrom="margin">
              <wp:posOffset>1990725</wp:posOffset>
            </wp:positionV>
            <wp:extent cx="719455" cy="481330"/>
            <wp:wrapTopAndBottom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719455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6525260</wp:posOffset>
                </wp:positionH>
                <wp:positionV relativeFrom="margin">
                  <wp:posOffset>1725295</wp:posOffset>
                </wp:positionV>
                <wp:extent cx="368935" cy="125095"/>
                <wp:wrapNone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893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-117,40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513.79999999999995pt;margin-top:135.84999999999999pt;width:29.050000000000001pt;height:9.8499999999999996pt;z-index:2516577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-117,40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06625" distB="1200150" distL="6600190" distR="2251075" simplePos="0" relativeHeight="125829418" behindDoc="0" locked="0" layoutInCell="1" allowOverlap="1">
                <wp:simplePos x="0" y="0"/>
                <wp:positionH relativeFrom="page">
                  <wp:posOffset>7301865</wp:posOffset>
                </wp:positionH>
                <wp:positionV relativeFrom="margin">
                  <wp:posOffset>2167255</wp:posOffset>
                </wp:positionV>
                <wp:extent cx="295910" cy="125095"/>
                <wp:wrapTopAndBottom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574.95000000000005pt;margin-top:170.65000000000001pt;width:23.300000000000001pt;height:9.8499999999999996pt;z-index:-125829335;mso-wrap-distance-left:519.70000000000005pt;mso-wrap-distance-top:173.75pt;mso-wrap-distance-right:177.25pt;mso-wrap-distance-bottom:94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93010" distB="139700" distL="114300" distR="114300" simplePos="0" relativeHeight="125829420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margin">
                  <wp:posOffset>2453640</wp:posOffset>
                </wp:positionV>
                <wp:extent cx="8918575" cy="899160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18575" cy="89916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494"/>
                              <w:gridCol w:w="1315"/>
                              <w:gridCol w:w="5981"/>
                              <w:gridCol w:w="710"/>
                              <w:gridCol w:w="1075"/>
                              <w:gridCol w:w="1109"/>
                              <w:gridCol w:w="1123"/>
                              <w:gridCol w:w="1152"/>
                              <w:gridCol w:w="1085"/>
                            </w:tblGrid>
                            <w:tr>
                              <w:trPr>
                                <w:tblHeader/>
                                <w:trHeight w:val="34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Přesun hmot HSV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02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998225111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00" w:after="0" w:line="271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Přesun hmot pro pozemní komunikace s krytem z kamene, monolitickým betonovým nebo živičným</w:t>
                                  </w:r>
                                </w:p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1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Přesun hmot pro komunikace s krytem z kameniva, monolitickým betonovým nebo živičným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82,00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75,00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6 150,00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1 291,50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7 441,50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64.25pt;margin-top:193.19999999999999pt;width:702.25pt;height:70.799999999999997pt;z-index:-125829333;mso-wrap-distance-left:9.pt;mso-wrap-distance-top:196.30000000000001pt;mso-wrap-distance-right:9.pt;mso-wrap-distance-bottom:11.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494"/>
                        <w:gridCol w:w="1315"/>
                        <w:gridCol w:w="5981"/>
                        <w:gridCol w:w="710"/>
                        <w:gridCol w:w="1075"/>
                        <w:gridCol w:w="1109"/>
                        <w:gridCol w:w="1123"/>
                        <w:gridCol w:w="1152"/>
                        <w:gridCol w:w="1085"/>
                      </w:tblGrid>
                      <w:tr>
                        <w:trPr>
                          <w:tblHeader/>
                          <w:trHeight w:val="34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Přesun hmot HSV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02" w:hRule="exact"/>
                        </w:trPr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998225111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0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Přesun hmot pro pozemní komunikace s krytem z kamene, monolitickým betonovým nebo živičným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Přesun hmot pro komunikace s krytem z kameniva, monolitickým betonovým nebo živičným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82,00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75,00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6 150,00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1 291,50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7 441,50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>
      <w:footerReference w:type="default" r:id="rId10"/>
      <w:footnotePr>
        <w:pos w:val="pageBottom"/>
        <w:numFmt w:val="decimal"/>
        <w:numRestart w:val="continuous"/>
      </w:footnotePr>
      <w:pgSz w:w="16840" w:h="11900" w:orient="landscape"/>
      <w:pgMar w:top="1365" w:left="1424" w:right="1304" w:bottom="1085" w:header="937" w:footer="65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3450590</wp:posOffset>
              </wp:positionH>
              <wp:positionV relativeFrom="page">
                <wp:posOffset>9832340</wp:posOffset>
              </wp:positionV>
              <wp:extent cx="640080" cy="825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008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1.69999999999999pt;margin-top:774.20000000000005pt;width:50.399999999999999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9791065</wp:posOffset>
              </wp:positionV>
              <wp:extent cx="602297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229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9.049999999999997pt;margin-top:770.95000000000005pt;width:474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4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2">
    <w:name w:val="Titulek obrázku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">
    <w:name w:val="Nadpis #1_"/>
    <w:basedOn w:val="DefaultParagraphFont"/>
    <w:link w:val="Style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1">
    <w:name w:val="Titulek obrázku"/>
    <w:basedOn w:val="Normal"/>
    <w:link w:val="CharStyle2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FFFFFF"/>
      <w:spacing w:after="380"/>
      <w:jc w:val="center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footer" Target="footer2.xml"/></Relationships>
</file>