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067" w:h="312" w:wrap="none" w:hAnchor="page" w:x="4768" w:y="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RÁMCOVÁ KUPNÍ SMLOUVA</w:t>
      </w:r>
    </w:p>
    <w:p>
      <w:pPr>
        <w:pStyle w:val="Style4"/>
        <w:keepNext/>
        <w:keepLines/>
        <w:framePr w:w="2448" w:h="1099" w:wrap="none" w:hAnchor="page" w:x="8459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5"/>
        </w:rPr>
        <w:t>■Hlllllll</w:t>
      </w:r>
      <w:bookmarkEnd w:id="0"/>
    </w:p>
    <w:p>
      <w:pPr>
        <w:pStyle w:val="Style6"/>
        <w:keepNext w:val="0"/>
        <w:keepLines w:val="0"/>
        <w:framePr w:w="2448" w:h="1099" w:wrap="none" w:hAnchor="page" w:x="8459" w:y="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7"/>
        </w:rPr>
        <w:t>2022008216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476" w:right="994" w:bottom="611" w:left="1474" w:header="48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15"/>
        </w:rPr>
        <w:t>uzavřená v souladu s ust. § 2079 a násl. zákona č. 89/2012 Sb., občanský zákoník,</w:t>
        <w:br/>
        <w:t>mezi níže uvedenými smluvními stranami</w:t>
      </w:r>
      <w:bookmarkEnd w:id="2"/>
    </w:p>
    <w:tbl>
      <w:tblPr>
        <w:tblOverlap w:val="never"/>
        <w:jc w:val="center"/>
        <w:tblLayout w:type="fixed"/>
      </w:tblPr>
      <w:tblGrid>
        <w:gridCol w:w="2112"/>
        <w:gridCol w:w="6941"/>
      </w:tblGrid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firstLine="20"/>
              <w:jc w:val="left"/>
            </w:pPr>
            <w:r>
              <w:rPr>
                <w:rStyle w:val="CharStyle19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9"/>
              </w:rPr>
              <w:t>Kamenice 798/1 d, 625 00 Brno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9"/>
              </w:rPr>
              <w:t>MUDr. Hana Albrechtová, ředitelka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9"/>
                <w:spacing w:val="8"/>
                <w:shd w:val="clear" w:color="auto" w:fill="000000"/>
              </w:rPr>
              <w:t>....</w:t>
            </w:r>
            <w:r>
              <w:rPr>
                <w:rStyle w:val="CharStyle19"/>
                <w:spacing w:val="9"/>
                <w:shd w:val="clear" w:color="auto" w:fill="000000"/>
              </w:rPr>
              <w:t>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2"/>
                <w:shd w:val="clear" w:color="auto" w:fill="000000"/>
              </w:rPr>
              <w:t>............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9"/>
                <w:spacing w:val="1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CharStyle19"/>
                <w:spacing w:val="2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CharStyle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hd w:val="clear" w:color="auto" w:fill="000000"/>
              </w:rPr>
              <w:t>...</w:t>
            </w:r>
            <w:r>
              <w:rPr>
                <w:rStyle w:val="CharStyle19"/>
                <w:spacing w:val="9"/>
                <w:shd w:val="clear" w:color="auto" w:fill="000000"/>
              </w:rPr>
              <w:t>..</w:t>
            </w:r>
            <w:r>
              <w:rPr>
                <w:rStyle w:val="CharStyle19"/>
                <w:shd w:val="clear" w:color="auto" w:fill="000000"/>
              </w:rPr>
              <w:t>​.......​.......​......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9"/>
              </w:rPr>
              <w:t>00346292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9"/>
              </w:rPr>
              <w:t>CZ00346292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9"/>
              </w:rPr>
              <w:t>Krajský soud v Brně sp. zn. Pr 1245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9"/>
              </w:rPr>
              <w:t>MONETA Money Bank, a.s.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9"/>
              </w:rPr>
              <w:t>117203514/0600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 xml:space="preserve">(dále jen </w:t>
            </w:r>
            <w:r>
              <w:rPr>
                <w:rStyle w:val="CharStyle19"/>
                <w:b/>
                <w:bCs/>
                <w:i/>
                <w:iCs/>
              </w:rPr>
              <w:t>„kupující)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a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021"/>
        <w:gridCol w:w="4728"/>
      </w:tblGrid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  <w:b/>
                <w:bCs/>
              </w:rPr>
              <w:t>ZLINER s.r.o.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tř. Tomáše Bati 283, 761 12 Zlín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Marcel Vodička, jednatel společnosti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480" w:right="0" w:firstLine="20"/>
              <w:jc w:val="left"/>
            </w:pPr>
            <w:r>
              <w:rPr>
                <w:rStyle w:val="CharStyle19"/>
                <w:spacing w:val="1"/>
                <w:shd w:val="clear" w:color="auto" w:fill="000000"/>
              </w:rPr>
              <w:t>..........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1"/>
                <w:shd w:val="clear" w:color="auto" w:fill="000000"/>
              </w:rPr>
              <w:t>...............</w:t>
            </w:r>
            <w:r>
              <w:rPr>
                <w:rStyle w:val="CharStyle19"/>
                <w:spacing w:val="2"/>
                <w:shd w:val="clear" w:color="auto" w:fill="000000"/>
              </w:rPr>
              <w:t>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.......</w:t>
            </w:r>
            <w:r>
              <w:rPr>
                <w:rStyle w:val="CharStyle19"/>
                <w:spacing w:val="4"/>
                <w:shd w:val="clear" w:color="auto" w:fill="000000"/>
              </w:rPr>
              <w:t>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...........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1"/>
                <w:shd w:val="clear" w:color="auto" w:fill="000000"/>
              </w:rPr>
              <w:t>.</w:t>
            </w:r>
            <w:r>
              <w:rPr>
                <w:rStyle w:val="CharStyle19"/>
                <w:spacing w:val="2"/>
                <w:shd w:val="clear" w:color="auto" w:fill="000000"/>
              </w:rPr>
              <w:t>....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19"/>
                <w:shd w:val="clear" w:color="auto" w:fill="000000"/>
                <w:lang w:val="en-US" w:eastAsia="en-US" w:bidi="en-US"/>
              </w:rPr>
              <w:t>​...........</w:t>
            </w:r>
            <w:r>
              <w:rPr>
                <w:rStyle w:val="CharStyle19"/>
                <w:spacing w:val="1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CharStyle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9"/>
                <w:shd w:val="clear" w:color="auto" w:fill="000000"/>
              </w:rPr>
              <w:t>​....</w:t>
            </w:r>
            <w:r>
              <w:rPr>
                <w:rStyle w:val="CharStyle19"/>
                <w:spacing w:val="1"/>
                <w:shd w:val="clear" w:color="auto" w:fill="000000"/>
              </w:rPr>
              <w:t>.....</w:t>
            </w:r>
            <w:r>
              <w:rPr>
                <w:rStyle w:val="CharStyle19"/>
                <w:shd w:val="clear" w:color="auto" w:fill="000000"/>
              </w:rPr>
              <w:t>​.......​............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45479534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CZ45479534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u Krajského soudu v Brně, oddíl C, vložka 5174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Česká spořitelna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633982/0800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 xml:space="preserve">(dále jen </w:t>
      </w:r>
      <w:r>
        <w:rPr>
          <w:rStyle w:val="CharStyle17"/>
          <w:b/>
          <w:bCs/>
        </w:rPr>
        <w:t>„prodávající“)</w:t>
      </w:r>
    </w:p>
    <w:p>
      <w:pPr>
        <w:widowControl w:val="0"/>
        <w:spacing w:after="123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00" w:right="0" w:hanging="400"/>
        <w:jc w:val="left"/>
      </w:pPr>
      <w:r>
        <w:rPr>
          <w:rStyle w:val="CharStyle12"/>
        </w:rPr>
        <w:t xml:space="preserve">Prodávající je oprávněn na základě svého vlastnického práva nakládat se zbožím v podobě </w:t>
      </w:r>
      <w:r>
        <w:rPr>
          <w:rStyle w:val="CharStyle12"/>
          <w:b/>
          <w:bCs/>
        </w:rPr>
        <w:t xml:space="preserve">akumulátorů </w:t>
      </w:r>
      <w:r>
        <w:rPr>
          <w:rStyle w:val="CharStyle12"/>
        </w:rPr>
        <w:t>do vozidel. Bližší specifikace tohoto zboží je uvedena v příloze č. 1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2"/>
        </w:rPr>
        <w:t>Prodávající se zavazuje dodávat zboží podle čl. 1 této smlouvy kupujícímu, a převádět na Jihomoravský kraj, jako jeho zřizovatele, vlastnické právo k tomuto zboží, a to ve lhůtě podle čl. 3 této smlouvy a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2"/>
        </w:rPr>
        <w:t>Prodávající se zavazuje dodávat zboží podle čl. 1 této smlouvy ve lhůtě do 24 hodin (v pracovních dnech) od doručení objednávky podle čl. 2 této smlouvy. Místem plnění se rozumí autodílna ZZS, Křižíkova 15, 612 00 Brno nebo autoservis na pozemku pare. č. 2831/1 v k.ú. Brno - Černovice, a to dle výběru objednatele.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52" w:lineRule="auto"/>
        <w:ind w:left="400" w:right="0" w:hanging="400"/>
        <w:jc w:val="both"/>
      </w:pPr>
      <w:r>
        <w:rPr>
          <w:rStyle w:val="CharStyle12"/>
        </w:rPr>
        <w:t xml:space="preserve">Závazek prodávajícího k dodávce zboží podle čl. 1 této smlouvy se považuje v každém jednotlivém případě za splněný předáním a převzetím příslušného zboží formou písemného předávacího protokolu, podepsaného oběma stranami. Tímto splněním závazku také přechází z prodávajícího na kupujícího nebezpečí škody na převáděném zboží a vlastnické právo k tomuto </w:t>
      </w:r>
      <w:r>
        <w:rPr>
          <w:rStyle w:val="CharStyle12"/>
        </w:rPr>
        <w:t>zboží. Kupující se zavazuje zaplatit prodávajícímu za zboží podle čl. 1 této smlouvy kupní cenu dle dílčích kupních smluv, kde cena bude stanovena jako součin dodaného množství a jednotkových cen. Jednotkové ceny zboží jsou uvedeny v příloze č. 1 této smlouvy. Součástí těchto cen jsou veškeré náklady prodávajícího na splnění jeho závazku k dodání zboží podle této smlouvy a daň z přidané hodnoty v sazbě platné podle zákona v den dodání zboží. Změna ceny je možná pouze v případě zákonné změny sazby DPH.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52" w:lineRule="auto"/>
        <w:ind w:left="420" w:right="0" w:hanging="420"/>
        <w:jc w:val="both"/>
      </w:pPr>
      <w:r>
        <w:rPr>
          <w:rStyle w:val="CharStyle12"/>
        </w:rPr>
        <w:t xml:space="preserve">Nebude-li mezi oběma stranami v jednotlivém případě dohodnuto jinak, je kupní cena podle čl. 5 této smlouvy splatná po splnění závazku prodávajícího k dodávce zboží způsobem podle čl. 4 této smlouvy, a to ve lhůtě do 30 dnů ode dne doručení jejího písemného vyúčtování (faktury - daňového dokladu). Faktura bude doručena elektronicky na email: </w:t>
      </w:r>
      <w:r>
        <w:rPr>
          <w:rStyle w:val="CharStyle12"/>
          <w:spacing w:val="1"/>
          <w:shd w:val="clear" w:color="auto" w:fill="000000"/>
          <w:lang w:val="en-US" w:eastAsia="en-US" w:bidi="en-US"/>
        </w:rPr>
        <w:t>..............</w:t>
      </w:r>
      <w:r>
        <w:rPr>
          <w:rStyle w:val="CharStyle12"/>
          <w:spacing w:val="2"/>
          <w:shd w:val="clear" w:color="auto" w:fill="000000"/>
          <w:lang w:val="en-US" w:eastAsia="en-US" w:bidi="en-US"/>
        </w:rPr>
        <w:t>..................</w:t>
      </w:r>
      <w:r>
        <w:rPr>
          <w:rStyle w:val="CharStyle12"/>
          <w:shd w:val="clear" w:color="auto" w:fill="000000"/>
          <w:lang w:val="en-US" w:eastAsia="en-US" w:bidi="en-US"/>
        </w:rPr>
        <w:t>.</w:t>
      </w:r>
      <w:r>
        <w:rPr>
          <w:rStyle w:val="CharStyle12"/>
          <w:shd w:val="clear" w:color="auto" w:fill="000000"/>
        </w:rPr>
        <w:t>​..</w:t>
      </w:r>
      <w:r>
        <w:rPr>
          <w:rStyle w:val="CharStyle12"/>
        </w:rPr>
        <w:t xml:space="preserve"> </w:t>
      </w:r>
      <w:r>
        <w:rPr>
          <w:rStyle w:val="CharStyle12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2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2"/>
          <w:shd w:val="clear" w:color="auto" w:fill="000000"/>
          <w:lang w:val="en-US" w:eastAsia="en-US" w:bidi="en-US"/>
        </w:rPr>
        <w:t>.</w:t>
      </w:r>
      <w:r>
        <w:rPr>
          <w:rStyle w:val="CharStyle12"/>
          <w:color w:val="2561A6"/>
          <w:lang w:val="en-US" w:eastAsia="en-US" w:bidi="en-US"/>
        </w:rPr>
        <w:t xml:space="preserve"> </w:t>
      </w:r>
      <w:r>
        <w:rPr>
          <w:rStyle w:val="CharStyle12"/>
        </w:rPr>
        <w:t xml:space="preserve">Na daňovém dokladu/faktuře musí být mimo jiné vždy uvedeno toto číslo veřejné zakázky, ke které se faktura vztahuje: </w:t>
      </w:r>
      <w:r>
        <w:rPr>
          <w:rStyle w:val="CharStyle12"/>
          <w:b/>
          <w:bCs/>
        </w:rPr>
        <w:t xml:space="preserve">P22V00003494. </w:t>
      </w:r>
      <w:r>
        <w:rPr>
          <w:rStyle w:val="CharStyle12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52" w:lineRule="auto"/>
        <w:ind w:left="420" w:right="0" w:hanging="420"/>
        <w:jc w:val="both"/>
      </w:pPr>
      <w:r>
        <w:rPr>
          <w:rStyle w:val="CharStyle12"/>
        </w:rPr>
        <w:t>S převodem zboží podle čl. 1 této smlouvy je spojena záruka za jeho jakost v trvání 24 měsíců od převzetí zboží kupujícím. Nebude-li mezi oběma stranami v jednotlivém případě ujednáno jinak, s ohledem na povahu zboží podle čl. 1 této smlouvy lze reklamaci vady na tomto zboží vyřídit pouze výměnou reklamovaného zboží za jiné bezvadné.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2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2"/>
        </w:rPr>
        <w:t>Pro případ prodlení se splněním jeho závazku k dodání zboží ve lhůtě podle čl. 3 této smlouvy a pro případ jeho prodlení s odstraněním vady ve lhůtě podle čl. 7 této smlouvy se prodávající zavazuje platit kupujícímu smluvní pokutu ve výši 0,1 % z kupní ceny podle čl. 5 této smlouvy za každý započatý den tohoto prodlení.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52" w:lineRule="auto"/>
        <w:ind w:left="420" w:right="0" w:hanging="420"/>
        <w:jc w:val="both"/>
      </w:pPr>
      <w:r>
        <w:rPr>
          <w:rStyle w:val="CharStyle12"/>
        </w:rPr>
        <w:t>Pro případ prodlení se splněním jeho závazku k dodání zboží ve lhůtě podle čl. 3 této smlouvy o více než dva týdny nebo pro případ výskytu neodstranitelné vady, resp. výskytu tří a více vad, a to i postupně, je kupující oprávněn odstoupit od této smlouvy s účinky ex tunc.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2"/>
        </w:rPr>
        <w:t>Pro případ prodlení kupujícího se zaplacením kupní ceny nebo její části ve lhůtě podle čl. 6 této smlouvy o více než 2 týdny, je prodávající oprávněn od této smlouvy odstoupit s účinky ex tunc.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2"/>
        </w:rPr>
        <w:t>Není-li touto smlouvou ujednáno jinak, řídí se vzájemný právní vztah mezi kupujícím a prodávajícím při realizaci této smlouvy ust. § 2079 a násl. zákona č. 89/2012 Sb., občanského zákoníku.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12"/>
        </w:rPr>
        <w:t xml:space="preserve">Tato smlouva se uzavírá na dobu určitou do </w:t>
      </w:r>
      <w:r>
        <w:rPr>
          <w:rStyle w:val="CharStyle12"/>
          <w:b/>
          <w:bCs/>
        </w:rPr>
        <w:t>31.12. 2024.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2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2"/>
        </w:rPr>
        <w:t>Tuto smlouvu lze změnit nebo zrušit pouze jinou písemnou dohodou obou smluvních stran mající formu číslovaného dodatků k této smlouvě.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20" w:right="0" w:hanging="4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31" w:right="1009" w:bottom="1134" w:left="1458" w:header="903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40" w:line="240" w:lineRule="auto"/>
        <w:ind w:left="420" w:right="0" w:hanging="420"/>
        <w:jc w:val="left"/>
      </w:pPr>
      <w:r>
        <w:rPr>
          <w:rStyle w:val="CharStyle12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40" w:line="240" w:lineRule="auto"/>
        <w:ind w:left="420" w:right="0" w:hanging="420"/>
        <w:jc w:val="left"/>
      </w:pPr>
      <w:r>
        <w:rPr>
          <w:rStyle w:val="CharStyle12"/>
        </w:rPr>
        <w:t>Tato smlouva nabývá účinnosti dnem jejího uveřejnění v registru smluv dle čl. 17, nejdříve však 1.1. 2023.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0" w:line="252" w:lineRule="auto"/>
        <w:ind w:left="420" w:right="0" w:hanging="420"/>
        <w:jc w:val="left"/>
      </w:pPr>
      <w:r>
        <w:rPr>
          <w:rStyle w:val="CharStyle12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331" w:right="1009" w:bottom="1134" w:left="1458" w:header="903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77800" distB="3175" distL="0" distR="0" simplePos="0" relativeHeight="125829378" behindDoc="0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177800</wp:posOffset>
                </wp:positionV>
                <wp:extent cx="1639570" cy="25273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957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2561A6"/>
                              </w:rPr>
                              <w:t>VBmédne^/^í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3.400000000000006pt;margin-top:14.pt;width:129.09999999999999pt;height:19.900000000000002pt;z-index:-125829375;mso-wrap-distance-left:0;mso-wrap-distance-top:14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2561A6"/>
                        </w:rPr>
                        <w:t>VBmédne^/^í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4480" distB="0" distL="0" distR="0" simplePos="0" relativeHeight="125829380" behindDoc="0" locked="0" layoutInCell="1" allowOverlap="1">
                <wp:simplePos x="0" y="0"/>
                <wp:positionH relativeFrom="page">
                  <wp:posOffset>4291330</wp:posOffset>
                </wp:positionH>
                <wp:positionV relativeFrom="paragraph">
                  <wp:posOffset>284480</wp:posOffset>
                </wp:positionV>
                <wp:extent cx="1484630" cy="14922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463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Ve Zlíně dne 14.11. 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7.90000000000003pt;margin-top:22.400000000000002pt;width:116.90000000000001pt;height:11.75pt;z-index:-125829373;mso-wrap-distance-left:0;mso-wrap-distance-top:22.4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Ve Zlíně dne 14.11.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0" w:after="3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42" w:right="0" w:bottom="134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484505" distL="138430" distR="114300" simplePos="0" relativeHeight="125829382" behindDoc="0" locked="0" layoutInCell="1" allowOverlap="1">
            <wp:simplePos x="0" y="0"/>
            <wp:positionH relativeFrom="page">
              <wp:posOffset>965200</wp:posOffset>
            </wp:positionH>
            <wp:positionV relativeFrom="paragraph">
              <wp:posOffset>12700</wp:posOffset>
            </wp:positionV>
            <wp:extent cx="2060575" cy="725170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60575" cy="7251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941070</wp:posOffset>
                </wp:positionH>
                <wp:positionV relativeFrom="paragraph">
                  <wp:posOffset>765810</wp:posOffset>
                </wp:positionV>
                <wp:extent cx="1429385" cy="45402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9385" cy="454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8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8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4.100000000000009pt;margin-top:60.300000000000004pt;width:112.55pt;height:35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8"/>
                        </w:rPr>
                        <w:t>MUDr. Hana Albrechtová ředitelka</w:t>
                      </w:r>
                    </w:p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8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4872990</wp:posOffset>
            </wp:positionH>
            <wp:positionV relativeFrom="paragraph">
              <wp:posOffset>222250</wp:posOffset>
            </wp:positionV>
            <wp:extent cx="1207135" cy="39624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207135" cy="396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820" w:right="0" w:firstLine="0"/>
        <w:jc w:val="left"/>
      </w:pPr>
      <w:r>
        <w:rPr>
          <w:rStyle w:val="CharStyle12"/>
        </w:rPr>
        <w:t>Marcel Vodička jednatel společnosti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20" w:line="252" w:lineRule="auto"/>
        <w:ind w:left="1820" w:right="0" w:firstLine="0"/>
        <w:jc w:val="left"/>
      </w:pPr>
      <w:r>
        <w:rPr>
          <w:rStyle w:val="CharStyle12"/>
          <w:b/>
          <w:bCs/>
        </w:rPr>
        <w:t>Prodávající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42" w:right="1382" w:bottom="1342" w:left="1436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Příloha č. 1 Seznam zboží, ceník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12"/>
          <w:b/>
          <w:bCs/>
        </w:rPr>
        <w:t>Příloha č. 1 Seznam zboží, ceník</w:t>
      </w:r>
    </w:p>
    <w:tbl>
      <w:tblPr>
        <w:tblOverlap w:val="never"/>
        <w:jc w:val="center"/>
        <w:tblLayout w:type="fixed"/>
      </w:tblPr>
      <w:tblGrid>
        <w:gridCol w:w="2304"/>
        <w:gridCol w:w="1824"/>
        <w:gridCol w:w="1397"/>
        <w:gridCol w:w="1397"/>
        <w:gridCol w:w="1968"/>
        <w:gridCol w:w="2400"/>
        <w:gridCol w:w="1541"/>
        <w:gridCol w:w="1589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9"/>
                <w:b/>
                <w:bCs/>
              </w:rPr>
              <w:t>Typ autobaterie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Kapacita, napětí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Test za studená dle EN [A]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Rozměry (dxšxv)v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Řazení pólů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Obchodní název, výrobce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Cena za 1 ks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Cena za 1 ks vč. DPH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Autobaterie 100 Ah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9"/>
              </w:rPr>
              <w:t>100 Ah, 12V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353,175,190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+pól na pravé straně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9"/>
              </w:rPr>
              <w:t>ZAP Silver Prémium 100Ah 12V 900A 353x175x190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2 347,11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2 840,00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Autobaterie 72 Ah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72 Ah, 12V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278,175,175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+pól na pravé straně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19"/>
              </w:rPr>
              <w:t>autobaterie BAUER Calcium 72Ah 12V 720A278x175x175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1 520,66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1 840,00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Autobaterie 70 Ah EFB+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70 Ah, 12V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278,175,190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+pól na pravé straně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19"/>
              </w:rPr>
              <w:t>autobaterie BAUER EFB 70Ah 12V 760A 278x175x190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1 876,03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2 270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Autobaterie 62 AH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62 AH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540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242,175,190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+pól pravá strana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19"/>
              </w:rPr>
              <w:t>autobaterie BAUER Calcium 62Ah 12V 540A 242x175x190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1 198,35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1 450,00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</w:pPr>
      <w:r>
        <w:rPr>
          <w:rStyle w:val="CharStyle17"/>
          <w:u w:val="single"/>
        </w:rPr>
        <w:t>Požadavky na autobaterie</w:t>
      </w:r>
      <w:r>
        <w:rPr>
          <w:rStyle w:val="CharStyle17"/>
        </w:rPr>
        <w:t>: nové, bezúdržbové, nabité.</w:t>
      </w:r>
    </w:p>
    <w:p>
      <w:pPr>
        <w:widowControl w:val="0"/>
        <w:spacing w:after="493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i/>
          <w:iCs/>
        </w:rPr>
        <w:t>Veřejná zakázka 31-22: Autobaterie 2023 - 2024</w:t>
      </w:r>
    </w:p>
    <w:sectPr>
      <w:footerReference w:type="default" r:id="rId11"/>
      <w:footnotePr>
        <w:pos w:val="pageBottom"/>
        <w:numFmt w:val="decimal"/>
        <w:numRestart w:val="continuous"/>
      </w:footnotePr>
      <w:pgSz w:w="16840" w:h="11900" w:orient="landscape"/>
      <w:pgMar w:top="1530" w:right="1300" w:bottom="105" w:left="1120" w:header="1102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10241915</wp:posOffset>
              </wp:positionV>
              <wp:extent cx="269748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9748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31-22: Autobaterie 2023 - 2024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100000000000009pt;margin-top:806.45000000000005pt;width:212.4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31-22: Autobaterie 2023 - 2024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10242550</wp:posOffset>
              </wp:positionV>
              <wp:extent cx="2697480" cy="1282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974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60-20: Autobaterie 2021 - 2022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8.450000000000003pt;margin-top:806.5pt;width:212.40000000000001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60-20: Autobaterie 2021 - 2022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8">
    <w:name w:val="Titulek obrázku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4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auto"/>
      <w:ind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auto"/>
      <w:spacing w:after="460" w:line="266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7">
    <w:name w:val="Titulek obrázku"/>
    <w:basedOn w:val="Normal"/>
    <w:link w:val="CharStyle38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footer" Target="footer3.xml"/></Relationships>
</file>