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1834C1" w:rsidRPr="00950C35" w14:paraId="7C443AC2" w14:textId="77777777" w:rsidTr="00366EA8">
        <w:trPr>
          <w:trHeight w:val="1125"/>
        </w:trPr>
        <w:tc>
          <w:tcPr>
            <w:tcW w:w="6345" w:type="dxa"/>
            <w:shd w:val="clear" w:color="auto" w:fill="auto"/>
          </w:tcPr>
          <w:p w14:paraId="6B32A8D2" w14:textId="77777777" w:rsidR="001834C1" w:rsidRPr="00FD5CC7" w:rsidRDefault="001834C1" w:rsidP="002B6DA4">
            <w:pPr>
              <w:tabs>
                <w:tab w:val="left" w:pos="1206"/>
              </w:tabs>
              <w:rPr>
                <w:rFonts w:ascii="Cambria" w:hAnsi="Cambria" w:cs="Arial"/>
                <w:color w:val="1F497D"/>
                <w:sz w:val="28"/>
                <w:szCs w:val="26"/>
              </w:rPr>
            </w:pPr>
            <w:r w:rsidRPr="00950C35">
              <w:rPr>
                <w:rFonts w:ascii="Cambria" w:hAnsi="Cambria" w:cs="Arial"/>
                <w:b/>
                <w:color w:val="1F497D"/>
                <w:sz w:val="44"/>
                <w:szCs w:val="40"/>
              </w:rPr>
              <w:t>Úřad vlády České republiky</w:t>
            </w:r>
            <w:r w:rsidRPr="00950C35">
              <w:rPr>
                <w:rFonts w:ascii="Cambria" w:hAnsi="Cambria" w:cs="Arial"/>
                <w:b/>
                <w:color w:val="1F497D"/>
                <w:sz w:val="44"/>
                <w:szCs w:val="40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14:paraId="11837C4C" w14:textId="77777777" w:rsidR="001834C1" w:rsidRPr="00950C35" w:rsidRDefault="001834C1" w:rsidP="002B6DA4">
            <w:pPr>
              <w:tabs>
                <w:tab w:val="center" w:pos="4536"/>
                <w:tab w:val="right" w:pos="9072"/>
              </w:tabs>
              <w:jc w:val="right"/>
            </w:pPr>
            <w:r>
              <w:rPr>
                <w:rFonts w:cs="Arial"/>
                <w:b/>
                <w:noProof/>
                <w:color w:val="1F497D"/>
                <w:sz w:val="44"/>
                <w:szCs w:val="28"/>
              </w:rPr>
              <w:drawing>
                <wp:inline distT="0" distB="0" distL="0" distR="0" wp14:anchorId="76A9E3F5" wp14:editId="6E9B383E">
                  <wp:extent cx="1804670" cy="524510"/>
                  <wp:effectExtent l="0" t="0" r="5080" b="8890"/>
                  <wp:docPr id="2" name="Obrázek 2" descr="uvcr-logo-sablony-zahla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uvcr-logo-sablony-zahla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F2BCC" w14:textId="77777777" w:rsidR="009C0CE8" w:rsidRPr="001834C1" w:rsidRDefault="009C0CE8" w:rsidP="001834C1">
      <w:pPr>
        <w:spacing w:after="0" w:line="259" w:lineRule="auto"/>
        <w:ind w:left="0" w:right="5" w:firstLine="0"/>
        <w:rPr>
          <w:rFonts w:ascii="Arial" w:hAnsi="Arial" w:cs="Arial"/>
          <w:sz w:val="22"/>
        </w:rPr>
      </w:pPr>
    </w:p>
    <w:p w14:paraId="172D386C" w14:textId="04D31446" w:rsidR="00786D0E" w:rsidRPr="00390377" w:rsidRDefault="00786D0E" w:rsidP="00786D0E">
      <w:pPr>
        <w:tabs>
          <w:tab w:val="left" w:pos="9260"/>
        </w:tabs>
        <w:jc w:val="right"/>
        <w:rPr>
          <w:rFonts w:ascii="Arial" w:eastAsia="Times New Roman" w:hAnsi="Arial" w:cs="Arial"/>
        </w:rPr>
      </w:pPr>
      <w:r w:rsidRPr="00390377">
        <w:rPr>
          <w:rFonts w:ascii="Arial" w:eastAsia="Times New Roman" w:hAnsi="Arial" w:cs="Arial"/>
          <w:spacing w:val="-1"/>
        </w:rPr>
        <w:t>číslo smlouvy</w:t>
      </w:r>
      <w:r w:rsidRPr="00390377">
        <w:rPr>
          <w:rFonts w:ascii="Arial" w:eastAsia="Times New Roman" w:hAnsi="Arial" w:cs="Arial"/>
        </w:rPr>
        <w:t xml:space="preserve">: </w:t>
      </w:r>
      <w:r w:rsidRPr="00390377">
        <w:rPr>
          <w:rFonts w:ascii="Arial" w:eastAsia="Times New Roman" w:hAnsi="Arial" w:cs="Arial"/>
          <w:spacing w:val="1"/>
        </w:rPr>
        <w:t>2</w:t>
      </w:r>
      <w:r>
        <w:rPr>
          <w:rFonts w:ascii="Arial" w:eastAsia="Times New Roman" w:hAnsi="Arial" w:cs="Arial"/>
          <w:spacing w:val="1"/>
        </w:rPr>
        <w:t>2</w:t>
      </w:r>
      <w:r w:rsidRPr="00390377">
        <w:rPr>
          <w:rFonts w:ascii="Arial" w:eastAsia="Times New Roman" w:hAnsi="Arial" w:cs="Arial"/>
        </w:rPr>
        <w:t>/</w:t>
      </w:r>
      <w:r>
        <w:rPr>
          <w:rFonts w:ascii="Arial" w:hAnsi="Arial" w:cs="Arial"/>
          <w:color w:val="333333"/>
          <w:shd w:val="clear" w:color="auto" w:fill="FFFFFF"/>
        </w:rPr>
        <w:t>1</w:t>
      </w:r>
      <w:r w:rsidR="00D11E0E">
        <w:rPr>
          <w:rFonts w:ascii="Arial" w:hAnsi="Arial" w:cs="Arial"/>
          <w:color w:val="333333"/>
          <w:shd w:val="clear" w:color="auto" w:fill="FFFFFF"/>
        </w:rPr>
        <w:t>64</w:t>
      </w:r>
      <w:r w:rsidRPr="00390377">
        <w:rPr>
          <w:rFonts w:ascii="Arial" w:eastAsia="Times New Roman" w:hAnsi="Arial" w:cs="Arial"/>
          <w:spacing w:val="-2"/>
        </w:rPr>
        <w:t>-</w:t>
      </w:r>
      <w:r>
        <w:rPr>
          <w:rFonts w:ascii="Arial" w:eastAsia="Times New Roman" w:hAnsi="Arial" w:cs="Arial"/>
        </w:rPr>
        <w:t>1</w:t>
      </w:r>
    </w:p>
    <w:p w14:paraId="3CDA443A" w14:textId="3B2340C4" w:rsidR="00786D0E" w:rsidRDefault="00786D0E" w:rsidP="00786D0E">
      <w:pPr>
        <w:tabs>
          <w:tab w:val="left" w:pos="9260"/>
        </w:tabs>
        <w:jc w:val="right"/>
        <w:rPr>
          <w:rFonts w:ascii="Arial" w:hAnsi="Arial" w:cs="Arial"/>
          <w:color w:val="333333"/>
          <w:shd w:val="clear" w:color="auto" w:fill="FFFFFF"/>
        </w:rPr>
      </w:pPr>
      <w:r w:rsidRPr="00D11E0E">
        <w:rPr>
          <w:rFonts w:ascii="Arial" w:eastAsia="Times New Roman" w:hAnsi="Arial" w:cs="Arial"/>
          <w:spacing w:val="-1"/>
        </w:rPr>
        <w:t xml:space="preserve">Č.j.: </w:t>
      </w:r>
      <w:r w:rsidR="00D11E0E" w:rsidRPr="00D11E0E">
        <w:rPr>
          <w:rFonts w:ascii="Arial" w:hAnsi="Arial" w:cs="Arial"/>
          <w:bCs/>
        </w:rPr>
        <w:t>2</w:t>
      </w:r>
      <w:r w:rsidR="00D11E0E">
        <w:rPr>
          <w:rFonts w:ascii="Arial" w:hAnsi="Arial" w:cs="Arial"/>
          <w:bCs/>
        </w:rPr>
        <w:t>0002</w:t>
      </w:r>
      <w:r w:rsidRPr="00D11E0E">
        <w:rPr>
          <w:rFonts w:ascii="Arial" w:hAnsi="Arial" w:cs="Arial"/>
          <w:bCs/>
        </w:rPr>
        <w:t>/2022</w:t>
      </w:r>
      <w:r w:rsidRPr="00D11E0E">
        <w:rPr>
          <w:rFonts w:ascii="Arial" w:eastAsia="Times New Roman" w:hAnsi="Arial" w:cs="Arial"/>
          <w:spacing w:val="-2"/>
        </w:rPr>
        <w:t>-</w:t>
      </w:r>
      <w:r w:rsidRPr="00D11E0E">
        <w:rPr>
          <w:rFonts w:ascii="Arial" w:eastAsia="Times New Roman" w:hAnsi="Arial" w:cs="Arial"/>
        </w:rPr>
        <w:t>UVCR-</w:t>
      </w:r>
      <w:r w:rsidR="00D11E0E">
        <w:rPr>
          <w:rFonts w:ascii="Arial" w:hAnsi="Arial" w:cs="Arial"/>
          <w:color w:val="333333"/>
          <w:shd w:val="clear" w:color="auto" w:fill="FFFFFF"/>
        </w:rPr>
        <w:t>11</w:t>
      </w:r>
    </w:p>
    <w:p w14:paraId="44D608B9" w14:textId="7ECC0A14" w:rsidR="00842B24" w:rsidRDefault="00832A07" w:rsidP="00AA7626">
      <w:pPr>
        <w:tabs>
          <w:tab w:val="left" w:pos="9260"/>
        </w:tabs>
        <w:jc w:val="right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  <w:spacing w:val="-1"/>
        </w:rPr>
        <w:t>Číslo smlouvy ČT:</w:t>
      </w:r>
      <w:r>
        <w:rPr>
          <w:rFonts w:ascii="Arial" w:eastAsia="Times New Roman" w:hAnsi="Arial" w:cs="Arial"/>
        </w:rPr>
        <w:t xml:space="preserve"> HEG </w:t>
      </w:r>
      <w:r w:rsidR="00B451B8">
        <w:rPr>
          <w:rFonts w:ascii="Arial" w:eastAsia="Times New Roman" w:hAnsi="Arial" w:cs="Arial"/>
        </w:rPr>
        <w:t>VER222-</w:t>
      </w:r>
      <w:r w:rsidR="00D350A7">
        <w:rPr>
          <w:rFonts w:ascii="Arial" w:eastAsia="Times New Roman" w:hAnsi="Arial" w:cs="Arial"/>
        </w:rPr>
        <w:t>00154</w:t>
      </w:r>
    </w:p>
    <w:p w14:paraId="504482F9" w14:textId="47FD472B" w:rsidR="00AD51FE" w:rsidRPr="00C74D5E" w:rsidRDefault="00AD51FE" w:rsidP="00AD51FE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DODATEK č. 2</w:t>
      </w:r>
    </w:p>
    <w:p w14:paraId="6F617860" w14:textId="77777777" w:rsidR="00AD51FE" w:rsidRPr="00C74D5E" w:rsidRDefault="00AD51FE" w:rsidP="00AD51FE">
      <w:pPr>
        <w:spacing w:after="100" w:line="259" w:lineRule="auto"/>
        <w:ind w:left="0" w:firstLine="0"/>
        <w:jc w:val="center"/>
        <w:rPr>
          <w:rFonts w:ascii="Arial" w:hAnsi="Arial" w:cs="Arial"/>
          <w:b/>
          <w:szCs w:val="24"/>
        </w:rPr>
      </w:pPr>
      <w:r w:rsidRPr="00C74D5E">
        <w:rPr>
          <w:rFonts w:ascii="Arial" w:hAnsi="Arial" w:cs="Arial"/>
          <w:b/>
          <w:szCs w:val="24"/>
        </w:rPr>
        <w:t xml:space="preserve">KE SMLOUVĚ O </w:t>
      </w:r>
      <w:r w:rsidRPr="00D11E0E">
        <w:rPr>
          <w:rFonts w:ascii="Arial" w:hAnsi="Arial" w:cs="Arial"/>
          <w:b/>
          <w:szCs w:val="24"/>
        </w:rPr>
        <w:t>ZAJIŠTĚNÍ HOST-BROADCASTINGOVÝCH SLUŽEB</w:t>
      </w:r>
    </w:p>
    <w:p w14:paraId="0B4CE2F1" w14:textId="5AA00F91" w:rsidR="00AD51FE" w:rsidRDefault="00AD51FE" w:rsidP="00AD51FE">
      <w:pPr>
        <w:spacing w:after="0" w:line="259" w:lineRule="auto"/>
        <w:ind w:left="0" w:firstLine="0"/>
        <w:rPr>
          <w:rFonts w:ascii="Arial" w:hAnsi="Arial" w:cs="Arial"/>
          <w:sz w:val="22"/>
        </w:rPr>
      </w:pPr>
      <w:bookmarkStart w:id="0" w:name="_GoBack"/>
      <w:bookmarkEnd w:id="0"/>
    </w:p>
    <w:p w14:paraId="053C3C6D" w14:textId="13FDD123" w:rsidR="00C74D5E" w:rsidRDefault="00C74D5E" w:rsidP="00C74D5E">
      <w:pPr>
        <w:spacing w:after="0" w:line="259" w:lineRule="auto"/>
        <w:ind w:left="14" w:firstLine="0"/>
        <w:jc w:val="center"/>
        <w:rPr>
          <w:rFonts w:ascii="Arial" w:hAnsi="Arial" w:cs="Arial"/>
          <w:sz w:val="22"/>
        </w:rPr>
      </w:pPr>
      <w:r w:rsidRPr="00C74D5E">
        <w:rPr>
          <w:rFonts w:ascii="Arial" w:hAnsi="Arial" w:cs="Arial"/>
          <w:sz w:val="22"/>
        </w:rPr>
        <w:t xml:space="preserve">uzavřená dle </w:t>
      </w:r>
      <w:r w:rsidR="00763BB2">
        <w:rPr>
          <w:rFonts w:ascii="Arial" w:hAnsi="Arial" w:cs="Arial"/>
          <w:sz w:val="22"/>
        </w:rPr>
        <w:t xml:space="preserve">§ </w:t>
      </w:r>
      <w:r w:rsidR="00D11E0E">
        <w:rPr>
          <w:rFonts w:ascii="Arial" w:hAnsi="Arial" w:cs="Arial"/>
          <w:sz w:val="22"/>
        </w:rPr>
        <w:t>1746 odst.2</w:t>
      </w:r>
      <w:r w:rsidR="00763BB2">
        <w:rPr>
          <w:rFonts w:ascii="Arial" w:hAnsi="Arial" w:cs="Arial"/>
          <w:sz w:val="22"/>
        </w:rPr>
        <w:t xml:space="preserve"> </w:t>
      </w:r>
      <w:r w:rsidRPr="00C74D5E">
        <w:rPr>
          <w:rFonts w:ascii="Arial" w:hAnsi="Arial" w:cs="Arial"/>
          <w:sz w:val="22"/>
        </w:rPr>
        <w:t>zákona č. 89/2012 Sb., občanský zákoník, ve znění pozdějších předpisů (dále jen „občanský zákoník“)</w:t>
      </w:r>
    </w:p>
    <w:p w14:paraId="72E6CC4E" w14:textId="77777777" w:rsidR="00F95304" w:rsidRPr="00C74D5E" w:rsidRDefault="00202470">
      <w:pPr>
        <w:spacing w:after="0" w:line="259" w:lineRule="auto"/>
        <w:ind w:left="14" w:firstLine="0"/>
        <w:jc w:val="center"/>
        <w:rPr>
          <w:rFonts w:ascii="Arial" w:hAnsi="Arial" w:cs="Arial"/>
          <w:sz w:val="22"/>
        </w:rPr>
      </w:pPr>
      <w:r w:rsidRPr="00C74D5E">
        <w:rPr>
          <w:rFonts w:ascii="Arial" w:hAnsi="Arial" w:cs="Arial"/>
          <w:sz w:val="22"/>
        </w:rPr>
        <w:t>v souvislosti s veřejnou zakázkou s názvem</w:t>
      </w:r>
    </w:p>
    <w:p w14:paraId="6BF1751E" w14:textId="781141DD" w:rsidR="005347FD" w:rsidRDefault="00D11E0E" w:rsidP="00A00FFE">
      <w:pPr>
        <w:spacing w:before="120"/>
        <w:ind w:left="425" w:hanging="414"/>
        <w:jc w:val="center"/>
        <w:rPr>
          <w:sz w:val="22"/>
        </w:rPr>
      </w:pPr>
      <w:r w:rsidRPr="00D11E0E">
        <w:rPr>
          <w:rFonts w:ascii="Arial" w:hAnsi="Arial" w:cs="Arial"/>
          <w:b/>
          <w:bCs/>
          <w:sz w:val="22"/>
        </w:rPr>
        <w:t xml:space="preserve">Zajištění host-broadcastingových služeb pro akce pořádané v rámci CZ PRES v roce 2022 – část </w:t>
      </w:r>
      <w:r w:rsidR="005B61E3">
        <w:rPr>
          <w:rFonts w:ascii="Arial" w:hAnsi="Arial" w:cs="Arial"/>
          <w:b/>
          <w:bCs/>
          <w:sz w:val="22"/>
        </w:rPr>
        <w:t>2</w:t>
      </w:r>
      <w:r w:rsidRPr="00D11E0E">
        <w:rPr>
          <w:rFonts w:ascii="Arial" w:hAnsi="Arial" w:cs="Arial"/>
          <w:b/>
          <w:bCs/>
          <w:sz w:val="22"/>
        </w:rPr>
        <w:t xml:space="preserve"> – Zajištění televizního pokrytí</w:t>
      </w:r>
    </w:p>
    <w:p w14:paraId="4918B39F" w14:textId="77777777" w:rsidR="00A00FFE" w:rsidRPr="00A00FFE" w:rsidRDefault="00A00FFE" w:rsidP="00A00FFE">
      <w:pPr>
        <w:spacing w:before="120"/>
        <w:ind w:left="425" w:hanging="414"/>
        <w:jc w:val="center"/>
        <w:rPr>
          <w:sz w:val="22"/>
        </w:rPr>
      </w:pPr>
    </w:p>
    <w:p w14:paraId="2926E3EE" w14:textId="6316A2EE" w:rsidR="008A0ECD" w:rsidRPr="001D347B" w:rsidRDefault="00A00FFE" w:rsidP="008A0ECD">
      <w:pPr>
        <w:ind w:right="-20"/>
        <w:rPr>
          <w:rFonts w:ascii="Arial" w:eastAsia="Times New Roman" w:hAnsi="Arial" w:cs="Arial"/>
          <w:sz w:val="22"/>
        </w:rPr>
      </w:pPr>
      <w:r w:rsidRPr="00D11E0E">
        <w:rPr>
          <w:rFonts w:ascii="Arial" w:hAnsi="Arial" w:cs="Arial"/>
          <w:b/>
          <w:color w:val="auto"/>
          <w:sz w:val="22"/>
          <w:szCs w:val="20"/>
          <w:shd w:val="clear" w:color="auto" w:fill="FFFFFF"/>
        </w:rPr>
        <w:t>Č</w:t>
      </w:r>
      <w:r w:rsidR="008A0ECD" w:rsidRPr="001D347B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="008A0ECD" w:rsidRPr="001D347B">
        <w:rPr>
          <w:rFonts w:ascii="Arial" w:eastAsia="Times New Roman" w:hAnsi="Arial" w:cs="Arial"/>
          <w:b/>
          <w:bCs/>
          <w:sz w:val="22"/>
        </w:rPr>
        <w:t>s</w:t>
      </w:r>
      <w:r w:rsidR="008A0ECD"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="008A0ECD" w:rsidRPr="001D347B">
        <w:rPr>
          <w:rFonts w:ascii="Arial" w:eastAsia="Times New Roman" w:hAnsi="Arial" w:cs="Arial"/>
          <w:b/>
          <w:bCs/>
          <w:sz w:val="22"/>
        </w:rPr>
        <w:t xml:space="preserve">á </w:t>
      </w:r>
      <w:r w:rsidR="008A0ECD" w:rsidRPr="001D347B">
        <w:rPr>
          <w:rFonts w:ascii="Arial" w:eastAsia="Times New Roman" w:hAnsi="Arial" w:cs="Arial"/>
          <w:b/>
          <w:bCs/>
          <w:spacing w:val="-1"/>
          <w:sz w:val="22"/>
        </w:rPr>
        <w:t>re</w:t>
      </w:r>
      <w:r w:rsidR="008A0ECD" w:rsidRPr="001D347B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="008A0ECD" w:rsidRPr="001D347B">
        <w:rPr>
          <w:rFonts w:ascii="Arial" w:eastAsia="Times New Roman" w:hAnsi="Arial" w:cs="Arial"/>
          <w:b/>
          <w:bCs/>
          <w:sz w:val="22"/>
        </w:rPr>
        <w:t>li</w:t>
      </w:r>
      <w:r w:rsidR="008A0ECD"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="008A0ECD" w:rsidRPr="001D347B">
        <w:rPr>
          <w:rFonts w:ascii="Arial" w:eastAsia="Times New Roman" w:hAnsi="Arial" w:cs="Arial"/>
          <w:b/>
          <w:bCs/>
          <w:sz w:val="22"/>
        </w:rPr>
        <w:t>a - Ú</w:t>
      </w:r>
      <w:r w:rsidR="008A0ECD" w:rsidRPr="001D347B">
        <w:rPr>
          <w:rFonts w:ascii="Arial" w:eastAsia="Times New Roman" w:hAnsi="Arial" w:cs="Arial"/>
          <w:b/>
          <w:bCs/>
          <w:spacing w:val="-1"/>
          <w:sz w:val="22"/>
        </w:rPr>
        <w:t>ř</w:t>
      </w:r>
      <w:r w:rsidR="008A0ECD" w:rsidRPr="001D347B">
        <w:rPr>
          <w:rFonts w:ascii="Arial" w:eastAsia="Times New Roman" w:hAnsi="Arial" w:cs="Arial"/>
          <w:b/>
          <w:bCs/>
          <w:sz w:val="22"/>
        </w:rPr>
        <w:t>ad vlá</w:t>
      </w:r>
      <w:r w:rsidR="008A0ECD" w:rsidRPr="001D347B">
        <w:rPr>
          <w:rFonts w:ascii="Arial" w:eastAsia="Times New Roman" w:hAnsi="Arial" w:cs="Arial"/>
          <w:b/>
          <w:bCs/>
          <w:spacing w:val="1"/>
          <w:sz w:val="22"/>
        </w:rPr>
        <w:t>d</w:t>
      </w:r>
      <w:r w:rsidR="008A0ECD" w:rsidRPr="001D347B">
        <w:rPr>
          <w:rFonts w:ascii="Arial" w:eastAsia="Times New Roman" w:hAnsi="Arial" w:cs="Arial"/>
          <w:b/>
          <w:bCs/>
          <w:sz w:val="22"/>
        </w:rPr>
        <w:t>y Č</w:t>
      </w:r>
      <w:r w:rsidR="008A0ECD" w:rsidRPr="001D347B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="008A0ECD" w:rsidRPr="001D347B">
        <w:rPr>
          <w:rFonts w:ascii="Arial" w:eastAsia="Times New Roman" w:hAnsi="Arial" w:cs="Arial"/>
          <w:b/>
          <w:bCs/>
          <w:sz w:val="22"/>
        </w:rPr>
        <w:t>s</w:t>
      </w:r>
      <w:r w:rsidR="008A0ECD"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="008A0ECD" w:rsidRPr="001D347B">
        <w:rPr>
          <w:rFonts w:ascii="Arial" w:eastAsia="Times New Roman" w:hAnsi="Arial" w:cs="Arial"/>
          <w:b/>
          <w:bCs/>
          <w:sz w:val="22"/>
        </w:rPr>
        <w:t>é</w:t>
      </w:r>
      <w:r w:rsidR="008A0ECD" w:rsidRPr="001D347B">
        <w:rPr>
          <w:rFonts w:ascii="Arial" w:eastAsia="Times New Roman" w:hAnsi="Arial" w:cs="Arial"/>
          <w:b/>
          <w:bCs/>
          <w:spacing w:val="-1"/>
          <w:sz w:val="22"/>
        </w:rPr>
        <w:t xml:space="preserve"> re</w:t>
      </w:r>
      <w:r w:rsidR="008A0ECD" w:rsidRPr="001D347B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="008A0ECD" w:rsidRPr="001D347B">
        <w:rPr>
          <w:rFonts w:ascii="Arial" w:eastAsia="Times New Roman" w:hAnsi="Arial" w:cs="Arial"/>
          <w:b/>
          <w:bCs/>
          <w:sz w:val="22"/>
        </w:rPr>
        <w:t>li</w:t>
      </w:r>
      <w:r w:rsidR="008A0ECD"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="008A0ECD" w:rsidRPr="001D347B">
        <w:rPr>
          <w:rFonts w:ascii="Arial" w:eastAsia="Times New Roman" w:hAnsi="Arial" w:cs="Arial"/>
          <w:b/>
          <w:bCs/>
          <w:sz w:val="22"/>
        </w:rPr>
        <w:t>y</w:t>
      </w:r>
    </w:p>
    <w:p w14:paraId="5402E7D1" w14:textId="0ECD10A1" w:rsidR="008A0ECD" w:rsidRDefault="008A0ECD" w:rsidP="008A0ECD">
      <w:pPr>
        <w:tabs>
          <w:tab w:val="left" w:pos="2410"/>
        </w:tabs>
        <w:spacing w:after="0"/>
        <w:ind w:left="2410" w:right="97" w:hanging="241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kterou zastupuje:</w:t>
      </w:r>
      <w:r w:rsidRPr="001D347B"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>Alice Krutilová, M.A. ředitelka Odboru pro předsednictví ČR v Radě EU, na základě vnitřního předpisu</w:t>
      </w:r>
    </w:p>
    <w:p w14:paraId="0E842C46" w14:textId="77777777" w:rsidR="008A0ECD" w:rsidRPr="001D347B" w:rsidRDefault="008A0ECD" w:rsidP="008A0ECD">
      <w:pPr>
        <w:tabs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m:</w:t>
      </w:r>
      <w:r w:rsidRPr="001D347B">
        <w:rPr>
          <w:rFonts w:ascii="Arial" w:eastAsia="Times New Roman" w:hAnsi="Arial" w:cs="Arial"/>
          <w:sz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ř</w:t>
      </w:r>
      <w:r w:rsidRPr="001D347B">
        <w:rPr>
          <w:rFonts w:ascii="Arial" w:eastAsia="Times New Roman" w:hAnsi="Arial" w:cs="Arial"/>
          <w:sz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</w:rPr>
        <w:t>š</w:t>
      </w:r>
      <w:r w:rsidRPr="001D347B">
        <w:rPr>
          <w:rFonts w:ascii="Arial" w:eastAsia="Times New Roman" w:hAnsi="Arial" w:cs="Arial"/>
          <w:sz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</w:rPr>
        <w:t>ra</w:t>
      </w:r>
      <w:r w:rsidRPr="001D347B">
        <w:rPr>
          <w:rFonts w:ascii="Arial" w:eastAsia="Times New Roman" w:hAnsi="Arial" w:cs="Arial"/>
          <w:sz w:val="22"/>
        </w:rPr>
        <w:t>ha 1 - Malá Strana</w:t>
      </w:r>
    </w:p>
    <w:p w14:paraId="7FA329C1" w14:textId="77777777" w:rsidR="008A0ECD" w:rsidRPr="001D347B" w:rsidRDefault="008A0ECD" w:rsidP="008A0ECD">
      <w:pPr>
        <w:tabs>
          <w:tab w:val="left" w:pos="2200"/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3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ČO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  <w:t>00006599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</w:r>
    </w:p>
    <w:p w14:paraId="3185D763" w14:textId="77777777" w:rsidR="008A0ECD" w:rsidRPr="001D347B" w:rsidRDefault="008A0ECD" w:rsidP="008A0ECD">
      <w:pPr>
        <w:tabs>
          <w:tab w:val="left" w:pos="2200"/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2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  <w:t>CZ00006599</w:t>
      </w:r>
    </w:p>
    <w:p w14:paraId="76A4B79F" w14:textId="77777777" w:rsidR="008A0ECD" w:rsidRPr="001D347B" w:rsidRDefault="008A0ECD" w:rsidP="008A0ECD">
      <w:pPr>
        <w:tabs>
          <w:tab w:val="left" w:pos="2410"/>
        </w:tabs>
        <w:spacing w:after="0"/>
        <w:ind w:right="2365"/>
        <w:rPr>
          <w:rFonts w:ascii="Arial" w:eastAsia="Times New Roman" w:hAnsi="Arial" w:cs="Arial"/>
          <w:spacing w:val="2"/>
          <w:sz w:val="22"/>
        </w:rPr>
      </w:pPr>
      <w:r w:rsidRPr="001D347B">
        <w:rPr>
          <w:rFonts w:ascii="Arial" w:eastAsia="Times New Roman" w:hAnsi="Arial" w:cs="Arial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ní: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</w:rPr>
        <w:t>ra</w:t>
      </w:r>
      <w:r w:rsidRPr="001D347B">
        <w:rPr>
          <w:rFonts w:ascii="Arial" w:eastAsia="Times New Roman" w:hAnsi="Arial" w:cs="Arial"/>
          <w:sz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>.: 4320001/0710</w:t>
      </w:r>
    </w:p>
    <w:p w14:paraId="3639FAC2" w14:textId="5DF642B1" w:rsidR="008A0ECD" w:rsidRPr="001D347B" w:rsidRDefault="008A0ECD" w:rsidP="00753B12">
      <w:pPr>
        <w:tabs>
          <w:tab w:val="left" w:pos="2410"/>
        </w:tabs>
        <w:spacing w:before="120" w:after="120"/>
        <w:ind w:left="425" w:right="-23" w:hanging="414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1"/>
          <w:sz w:val="22"/>
        </w:rPr>
        <w:t>(</w:t>
      </w:r>
      <w:r w:rsidRPr="001D347B">
        <w:rPr>
          <w:rFonts w:ascii="Arial" w:eastAsia="Times New Roman" w:hAnsi="Arial" w:cs="Arial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</w:rPr>
        <w:t>„</w:t>
      </w:r>
      <w:r w:rsidRPr="001D347B">
        <w:rPr>
          <w:rFonts w:ascii="Arial" w:eastAsia="Times New Roman" w:hAnsi="Arial" w:cs="Arial"/>
          <w:b/>
          <w:sz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sz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</w:rPr>
        <w:t>a</w:t>
      </w:r>
      <w:r w:rsidRPr="001D347B">
        <w:rPr>
          <w:rFonts w:ascii="Arial" w:eastAsia="Times New Roman" w:hAnsi="Arial" w:cs="Arial"/>
          <w:b/>
          <w:sz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sz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</w:rPr>
        <w:t>“</w:t>
      </w:r>
      <w:r w:rsidRPr="001D347B">
        <w:rPr>
          <w:rFonts w:ascii="Arial" w:eastAsia="Times New Roman" w:hAnsi="Arial" w:cs="Arial"/>
          <w:sz w:val="22"/>
        </w:rPr>
        <w:t>)</w:t>
      </w:r>
    </w:p>
    <w:p w14:paraId="6955AD74" w14:textId="77777777" w:rsidR="008A0ECD" w:rsidRPr="00E077E5" w:rsidRDefault="008A0ECD" w:rsidP="008A0ECD">
      <w:pPr>
        <w:rPr>
          <w:rFonts w:ascii="Arial" w:hAnsi="Arial" w:cs="Arial"/>
          <w:sz w:val="22"/>
        </w:rPr>
      </w:pPr>
      <w:r w:rsidRPr="00E077E5">
        <w:rPr>
          <w:rFonts w:ascii="Arial" w:hAnsi="Arial" w:cs="Arial"/>
          <w:sz w:val="22"/>
        </w:rPr>
        <w:t>a</w:t>
      </w:r>
    </w:p>
    <w:p w14:paraId="60009184" w14:textId="77777777" w:rsidR="00D11E0E" w:rsidRPr="00D11E0E" w:rsidRDefault="00D11E0E" w:rsidP="00D11E0E">
      <w:pPr>
        <w:tabs>
          <w:tab w:val="left" w:pos="2410"/>
        </w:tabs>
        <w:spacing w:after="60" w:line="240" w:lineRule="auto"/>
        <w:ind w:left="0" w:right="-23" w:firstLine="0"/>
        <w:rPr>
          <w:rFonts w:ascii="Arial" w:hAnsi="Arial" w:cs="Arial"/>
          <w:b/>
          <w:color w:val="auto"/>
          <w:sz w:val="22"/>
          <w:szCs w:val="20"/>
          <w:shd w:val="clear" w:color="auto" w:fill="FFFFFF"/>
        </w:rPr>
      </w:pPr>
      <w:r w:rsidRPr="00D11E0E">
        <w:rPr>
          <w:rFonts w:ascii="Arial" w:hAnsi="Arial" w:cs="Arial"/>
          <w:b/>
          <w:color w:val="auto"/>
          <w:sz w:val="22"/>
          <w:szCs w:val="20"/>
          <w:shd w:val="clear" w:color="auto" w:fill="FFFFFF"/>
        </w:rPr>
        <w:t>Česká televize</w:t>
      </w:r>
    </w:p>
    <w:p w14:paraId="10DB70D0" w14:textId="77777777" w:rsidR="00D11E0E" w:rsidRPr="00D11E0E" w:rsidRDefault="00D11E0E" w:rsidP="00D11E0E">
      <w:pPr>
        <w:tabs>
          <w:tab w:val="left" w:pos="2410"/>
        </w:tabs>
        <w:spacing w:after="0" w:line="240" w:lineRule="auto"/>
        <w:ind w:left="0" w:right="-23" w:firstLine="0"/>
        <w:rPr>
          <w:rFonts w:ascii="Arial" w:hAnsi="Arial" w:cs="Arial"/>
          <w:b/>
          <w:color w:val="auto"/>
          <w:sz w:val="22"/>
          <w:szCs w:val="20"/>
          <w:shd w:val="clear" w:color="auto" w:fill="FFFFFF"/>
        </w:rPr>
      </w:pPr>
      <w:r w:rsidRPr="00D11E0E">
        <w:rPr>
          <w:rFonts w:ascii="Arial" w:hAnsi="Arial" w:cs="Arial"/>
          <w:color w:val="auto"/>
          <w:sz w:val="22"/>
          <w:szCs w:val="20"/>
        </w:rPr>
        <w:t>kterou zastupuje</w:t>
      </w:r>
      <w:r w:rsidRPr="00D11E0E">
        <w:rPr>
          <w:rFonts w:ascii="Arial" w:hAnsi="Arial" w:cs="Arial"/>
          <w:color w:val="auto"/>
          <w:spacing w:val="-1"/>
          <w:sz w:val="22"/>
          <w:szCs w:val="20"/>
        </w:rPr>
        <w:t xml:space="preserve">: </w:t>
      </w:r>
      <w:r w:rsidRPr="00D11E0E">
        <w:rPr>
          <w:rFonts w:ascii="Arial" w:hAnsi="Arial" w:cs="Arial"/>
          <w:color w:val="auto"/>
          <w:spacing w:val="-1"/>
          <w:sz w:val="22"/>
          <w:szCs w:val="20"/>
        </w:rPr>
        <w:tab/>
        <w:t xml:space="preserve">Ing. </w:t>
      </w:r>
      <w:r w:rsidRPr="00D11E0E">
        <w:rPr>
          <w:rFonts w:ascii="Arial" w:hAnsi="Arial" w:cs="Arial"/>
          <w:color w:val="auto"/>
          <w:sz w:val="22"/>
          <w:szCs w:val="20"/>
          <w:shd w:val="clear" w:color="auto" w:fill="FFFFFF"/>
        </w:rPr>
        <w:t>Petr Dvořák, MBA, generální ředitel</w:t>
      </w:r>
    </w:p>
    <w:p w14:paraId="4D8398B4" w14:textId="77777777" w:rsidR="00D11E0E" w:rsidRPr="00D11E0E" w:rsidRDefault="00D11E0E" w:rsidP="00D11E0E">
      <w:pPr>
        <w:tabs>
          <w:tab w:val="left" w:pos="2410"/>
        </w:tabs>
        <w:spacing w:after="0" w:line="240" w:lineRule="auto"/>
        <w:ind w:left="2410" w:right="-20" w:hanging="2410"/>
        <w:rPr>
          <w:rFonts w:ascii="Arial" w:hAnsi="Arial" w:cs="Arial"/>
          <w:color w:val="auto"/>
          <w:sz w:val="22"/>
          <w:szCs w:val="20"/>
          <w:shd w:val="clear" w:color="auto" w:fill="FFFFFF"/>
        </w:rPr>
      </w:pPr>
      <w:r w:rsidRPr="00D11E0E">
        <w:rPr>
          <w:rFonts w:ascii="Arial" w:hAnsi="Arial" w:cs="Arial"/>
          <w:color w:val="auto"/>
          <w:sz w:val="22"/>
          <w:szCs w:val="20"/>
        </w:rPr>
        <w:t>se sídl</w:t>
      </w:r>
      <w:r w:rsidRPr="00D11E0E">
        <w:rPr>
          <w:rFonts w:ascii="Arial" w:hAnsi="Arial" w:cs="Arial"/>
          <w:color w:val="auto"/>
          <w:spacing w:val="-1"/>
          <w:sz w:val="22"/>
          <w:szCs w:val="20"/>
        </w:rPr>
        <w:t>e</w:t>
      </w:r>
      <w:r w:rsidRPr="00D11E0E">
        <w:rPr>
          <w:rFonts w:ascii="Arial" w:hAnsi="Arial" w:cs="Arial"/>
          <w:color w:val="auto"/>
          <w:sz w:val="22"/>
          <w:szCs w:val="20"/>
        </w:rPr>
        <w:t xml:space="preserve">m: </w:t>
      </w:r>
      <w:r w:rsidRPr="00D11E0E">
        <w:rPr>
          <w:rFonts w:ascii="Arial" w:hAnsi="Arial" w:cs="Arial"/>
          <w:color w:val="auto"/>
          <w:sz w:val="22"/>
          <w:szCs w:val="20"/>
        </w:rPr>
        <w:tab/>
      </w:r>
      <w:r w:rsidRPr="00D11E0E">
        <w:rPr>
          <w:rFonts w:ascii="Arial" w:hAnsi="Arial" w:cs="Arial"/>
          <w:color w:val="auto"/>
          <w:sz w:val="22"/>
          <w:szCs w:val="20"/>
          <w:shd w:val="clear" w:color="auto" w:fill="FFFFFF"/>
        </w:rPr>
        <w:t>Na Hřebenech II 1132/4, 140 70 Praha 4 – Kavčí hory</w:t>
      </w:r>
    </w:p>
    <w:p w14:paraId="4C86139F" w14:textId="77777777" w:rsidR="00D11E0E" w:rsidRPr="00D11E0E" w:rsidRDefault="00D11E0E" w:rsidP="00D11E0E">
      <w:pPr>
        <w:tabs>
          <w:tab w:val="left" w:pos="2410"/>
        </w:tabs>
        <w:spacing w:after="0" w:line="240" w:lineRule="auto"/>
        <w:ind w:left="0" w:right="-20" w:firstLine="0"/>
        <w:rPr>
          <w:rFonts w:ascii="Arial" w:hAnsi="Arial" w:cs="Arial"/>
          <w:color w:val="auto"/>
          <w:sz w:val="22"/>
          <w:szCs w:val="20"/>
        </w:rPr>
      </w:pPr>
      <w:r w:rsidRPr="00D11E0E">
        <w:rPr>
          <w:rFonts w:ascii="Arial" w:hAnsi="Arial" w:cs="Arial"/>
          <w:color w:val="auto"/>
          <w:spacing w:val="-3"/>
          <w:sz w:val="22"/>
          <w:szCs w:val="20"/>
        </w:rPr>
        <w:t>I</w:t>
      </w:r>
      <w:r w:rsidRPr="00D11E0E">
        <w:rPr>
          <w:rFonts w:ascii="Arial" w:hAnsi="Arial" w:cs="Arial"/>
          <w:color w:val="auto"/>
          <w:spacing w:val="1"/>
          <w:sz w:val="22"/>
          <w:szCs w:val="20"/>
        </w:rPr>
        <w:t>ČO</w:t>
      </w:r>
      <w:r w:rsidRPr="00D11E0E">
        <w:rPr>
          <w:rFonts w:ascii="Arial" w:hAnsi="Arial" w:cs="Arial"/>
          <w:color w:val="auto"/>
          <w:sz w:val="22"/>
          <w:szCs w:val="20"/>
        </w:rPr>
        <w:t xml:space="preserve">: </w:t>
      </w:r>
      <w:r w:rsidRPr="00D11E0E">
        <w:rPr>
          <w:rFonts w:ascii="Arial" w:hAnsi="Arial" w:cs="Arial"/>
          <w:color w:val="auto"/>
          <w:sz w:val="22"/>
          <w:szCs w:val="20"/>
        </w:rPr>
        <w:tab/>
      </w:r>
      <w:r w:rsidRPr="00D11E0E">
        <w:rPr>
          <w:rFonts w:ascii="Arial" w:hAnsi="Arial" w:cs="Arial"/>
          <w:color w:val="auto"/>
          <w:sz w:val="22"/>
        </w:rPr>
        <w:t>00027383</w:t>
      </w:r>
      <w:r w:rsidRPr="00D11E0E">
        <w:rPr>
          <w:rFonts w:ascii="Arial" w:hAnsi="Arial" w:cs="Arial"/>
          <w:color w:val="auto"/>
          <w:sz w:val="22"/>
          <w:szCs w:val="20"/>
        </w:rPr>
        <w:tab/>
      </w:r>
    </w:p>
    <w:p w14:paraId="4EAB999F" w14:textId="77777777" w:rsidR="00D11E0E" w:rsidRPr="00D11E0E" w:rsidRDefault="00D11E0E" w:rsidP="00D11E0E">
      <w:pPr>
        <w:tabs>
          <w:tab w:val="left" w:pos="2410"/>
        </w:tabs>
        <w:spacing w:after="0" w:line="240" w:lineRule="auto"/>
        <w:ind w:left="0" w:right="-20" w:firstLine="0"/>
        <w:rPr>
          <w:rFonts w:ascii="Arial" w:hAnsi="Arial" w:cs="Arial"/>
          <w:color w:val="auto"/>
          <w:sz w:val="22"/>
          <w:szCs w:val="20"/>
        </w:rPr>
      </w:pPr>
      <w:r w:rsidRPr="00D11E0E">
        <w:rPr>
          <w:rFonts w:ascii="Arial" w:hAnsi="Arial" w:cs="Arial"/>
          <w:color w:val="auto"/>
          <w:spacing w:val="2"/>
          <w:sz w:val="22"/>
          <w:szCs w:val="20"/>
        </w:rPr>
        <w:t>D</w:t>
      </w:r>
      <w:r w:rsidRPr="00D11E0E">
        <w:rPr>
          <w:rFonts w:ascii="Arial" w:hAnsi="Arial" w:cs="Arial"/>
          <w:color w:val="auto"/>
          <w:spacing w:val="-6"/>
          <w:sz w:val="22"/>
          <w:szCs w:val="20"/>
        </w:rPr>
        <w:t>I</w:t>
      </w:r>
      <w:r w:rsidRPr="00D11E0E">
        <w:rPr>
          <w:rFonts w:ascii="Arial" w:hAnsi="Arial" w:cs="Arial"/>
          <w:color w:val="auto"/>
          <w:spacing w:val="1"/>
          <w:sz w:val="22"/>
          <w:szCs w:val="20"/>
        </w:rPr>
        <w:t>Č</w:t>
      </w:r>
      <w:r w:rsidRPr="00D11E0E">
        <w:rPr>
          <w:rFonts w:ascii="Arial" w:hAnsi="Arial" w:cs="Arial"/>
          <w:color w:val="auto"/>
          <w:sz w:val="22"/>
          <w:szCs w:val="20"/>
        </w:rPr>
        <w:t xml:space="preserve">: </w:t>
      </w:r>
      <w:r w:rsidRPr="00D11E0E">
        <w:rPr>
          <w:rFonts w:ascii="Arial" w:hAnsi="Arial" w:cs="Arial"/>
          <w:color w:val="auto"/>
          <w:sz w:val="22"/>
          <w:szCs w:val="20"/>
        </w:rPr>
        <w:tab/>
      </w:r>
      <w:r w:rsidRPr="00D11E0E">
        <w:rPr>
          <w:rFonts w:ascii="Arial" w:hAnsi="Arial" w:cs="Arial"/>
          <w:color w:val="auto"/>
          <w:sz w:val="22"/>
        </w:rPr>
        <w:t>CZ00027383</w:t>
      </w:r>
    </w:p>
    <w:p w14:paraId="283140F4" w14:textId="77777777" w:rsidR="00D11E0E" w:rsidRPr="00D11E0E" w:rsidRDefault="00D11E0E" w:rsidP="00D11E0E">
      <w:pPr>
        <w:tabs>
          <w:tab w:val="left" w:pos="2410"/>
          <w:tab w:val="left" w:pos="4360"/>
        </w:tabs>
        <w:spacing w:after="0" w:line="240" w:lineRule="auto"/>
        <w:ind w:left="0" w:right="-20" w:firstLine="0"/>
        <w:rPr>
          <w:rFonts w:ascii="Arial" w:hAnsi="Arial" w:cs="Arial"/>
          <w:color w:val="auto"/>
          <w:sz w:val="22"/>
          <w:szCs w:val="20"/>
        </w:rPr>
      </w:pPr>
      <w:r w:rsidRPr="00D11E0E">
        <w:rPr>
          <w:rFonts w:ascii="Arial" w:hAnsi="Arial" w:cs="Arial"/>
          <w:color w:val="auto"/>
          <w:sz w:val="22"/>
        </w:rPr>
        <w:t xml:space="preserve">zřízená </w:t>
      </w:r>
      <w:r w:rsidRPr="00D11E0E">
        <w:rPr>
          <w:rFonts w:ascii="Arial" w:hAnsi="Arial" w:cs="Arial"/>
          <w:color w:val="auto"/>
          <w:sz w:val="22"/>
          <w:shd w:val="clear" w:color="auto" w:fill="FFFFFF"/>
        </w:rPr>
        <w:t>ke dni 1. ledna 1992 zákonem České národní Rady č. 483/1991 Sb., o České televizi, jako televize veřejné služby, nezapisuje se do OR</w:t>
      </w:r>
      <w:r w:rsidRPr="00D11E0E">
        <w:rPr>
          <w:rFonts w:ascii="Arial" w:hAnsi="Arial" w:cs="Arial"/>
          <w:color w:val="auto"/>
          <w:sz w:val="22"/>
          <w:szCs w:val="20"/>
        </w:rPr>
        <w:t xml:space="preserve"> </w:t>
      </w:r>
    </w:p>
    <w:p w14:paraId="0495A277" w14:textId="5D0428A6" w:rsidR="00D11E0E" w:rsidRPr="00D11E0E" w:rsidRDefault="00D11E0E" w:rsidP="00D11E0E">
      <w:pPr>
        <w:tabs>
          <w:tab w:val="left" w:pos="1332"/>
        </w:tabs>
        <w:spacing w:after="0" w:line="240" w:lineRule="auto"/>
        <w:ind w:left="0" w:right="-420" w:firstLine="0"/>
        <w:rPr>
          <w:rFonts w:ascii="Arial" w:hAnsi="Arial" w:cs="Arial"/>
          <w:color w:val="auto"/>
          <w:sz w:val="22"/>
        </w:rPr>
      </w:pPr>
      <w:r w:rsidRPr="00D11E0E">
        <w:rPr>
          <w:rFonts w:ascii="Arial" w:hAnsi="Arial" w:cs="Arial"/>
          <w:color w:val="auto"/>
          <w:sz w:val="22"/>
          <w:szCs w:val="20"/>
        </w:rPr>
        <w:t>b</w:t>
      </w:r>
      <w:r w:rsidRPr="00D11E0E">
        <w:rPr>
          <w:rFonts w:ascii="Arial" w:hAnsi="Arial" w:cs="Arial"/>
          <w:color w:val="auto"/>
          <w:spacing w:val="-1"/>
          <w:sz w:val="22"/>
          <w:szCs w:val="20"/>
        </w:rPr>
        <w:t>a</w:t>
      </w:r>
      <w:r w:rsidRPr="00D11E0E">
        <w:rPr>
          <w:rFonts w:ascii="Arial" w:hAnsi="Arial" w:cs="Arial"/>
          <w:color w:val="auto"/>
          <w:sz w:val="22"/>
          <w:szCs w:val="20"/>
        </w:rPr>
        <w:t>nkovní spoj</w:t>
      </w:r>
      <w:r w:rsidRPr="00D11E0E">
        <w:rPr>
          <w:rFonts w:ascii="Arial" w:hAnsi="Arial" w:cs="Arial"/>
          <w:color w:val="auto"/>
          <w:spacing w:val="-1"/>
          <w:sz w:val="22"/>
          <w:szCs w:val="20"/>
        </w:rPr>
        <w:t>e</w:t>
      </w:r>
      <w:r w:rsidRPr="00D11E0E">
        <w:rPr>
          <w:rFonts w:ascii="Arial" w:hAnsi="Arial" w:cs="Arial"/>
          <w:color w:val="auto"/>
          <w:sz w:val="22"/>
          <w:szCs w:val="20"/>
        </w:rPr>
        <w:t>ní:</w:t>
      </w:r>
      <w:r>
        <w:rPr>
          <w:rFonts w:ascii="Arial" w:hAnsi="Arial" w:cs="Arial"/>
          <w:color w:val="auto"/>
          <w:sz w:val="22"/>
          <w:szCs w:val="20"/>
        </w:rPr>
        <w:tab/>
      </w:r>
      <w:r w:rsidRPr="00D11E0E">
        <w:rPr>
          <w:rFonts w:ascii="Arial" w:hAnsi="Arial" w:cs="Arial"/>
          <w:color w:val="auto"/>
          <w:sz w:val="22"/>
        </w:rPr>
        <w:t xml:space="preserve"> </w:t>
      </w:r>
      <w:r w:rsidR="00753B12">
        <w:rPr>
          <w:rFonts w:ascii="Arial" w:hAnsi="Arial" w:cs="Arial"/>
          <w:color w:val="auto"/>
          <w:sz w:val="22"/>
        </w:rPr>
        <w:t xml:space="preserve">  </w:t>
      </w:r>
      <w:r w:rsidRPr="00D11E0E">
        <w:rPr>
          <w:rFonts w:ascii="Arial" w:hAnsi="Arial" w:cs="Arial"/>
          <w:color w:val="auto"/>
          <w:sz w:val="22"/>
        </w:rPr>
        <w:t xml:space="preserve">1540252/0800 – pro plnění v CZK, </w:t>
      </w:r>
    </w:p>
    <w:p w14:paraId="353F3AD2" w14:textId="7A8BDBB8" w:rsidR="00F03F8D" w:rsidRPr="00763BB2" w:rsidRDefault="00D11E0E" w:rsidP="00753B12">
      <w:pPr>
        <w:tabs>
          <w:tab w:val="left" w:pos="2200"/>
          <w:tab w:val="left" w:pos="2410"/>
        </w:tabs>
        <w:spacing w:after="120"/>
        <w:ind w:left="2410" w:right="-23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ab/>
      </w:r>
      <w:r w:rsidR="00753B12">
        <w:rPr>
          <w:rFonts w:ascii="Arial" w:hAnsi="Arial" w:cs="Arial"/>
          <w:color w:val="auto"/>
          <w:sz w:val="22"/>
        </w:rPr>
        <w:t xml:space="preserve">  </w:t>
      </w:r>
      <w:r w:rsidRPr="00D11E0E">
        <w:rPr>
          <w:rFonts w:ascii="Arial" w:hAnsi="Arial" w:cs="Arial"/>
          <w:color w:val="auto"/>
          <w:sz w:val="22"/>
        </w:rPr>
        <w:t xml:space="preserve">1698682/0800, IBAN: CZ60 0800 0000 0000 0169 8682, SWIFT: GIBACZPX </w:t>
      </w:r>
      <w:r w:rsidR="00753B12">
        <w:rPr>
          <w:rFonts w:ascii="Arial" w:hAnsi="Arial" w:cs="Arial"/>
          <w:color w:val="auto"/>
          <w:sz w:val="22"/>
        </w:rPr>
        <w:t xml:space="preserve">  </w:t>
      </w:r>
      <w:r w:rsidRPr="00D11E0E">
        <w:rPr>
          <w:rFonts w:ascii="Arial" w:hAnsi="Arial" w:cs="Arial"/>
          <w:color w:val="auto"/>
          <w:sz w:val="22"/>
        </w:rPr>
        <w:t>- pro plnění v EURech</w:t>
      </w:r>
    </w:p>
    <w:p w14:paraId="3D6EE62B" w14:textId="3B057DE4" w:rsidR="008A0ECD" w:rsidRDefault="008A0ECD" w:rsidP="00F03F8D">
      <w:pPr>
        <w:spacing w:after="60" w:line="240" w:lineRule="auto"/>
        <w:ind w:left="425" w:hanging="414"/>
        <w:rPr>
          <w:rFonts w:ascii="Arial" w:hAnsi="Arial" w:cs="Arial"/>
          <w:sz w:val="22"/>
        </w:rPr>
      </w:pPr>
      <w:r w:rsidRPr="00B06847">
        <w:rPr>
          <w:rFonts w:ascii="Arial" w:hAnsi="Arial" w:cs="Arial"/>
          <w:sz w:val="22"/>
        </w:rPr>
        <w:t xml:space="preserve">(dále jen </w:t>
      </w:r>
      <w:r w:rsidR="003B6922">
        <w:rPr>
          <w:rFonts w:ascii="Arial" w:hAnsi="Arial" w:cs="Arial"/>
          <w:sz w:val="22"/>
        </w:rPr>
        <w:t xml:space="preserve">také </w:t>
      </w:r>
      <w:r w:rsidRPr="00B06847">
        <w:rPr>
          <w:rFonts w:ascii="Arial" w:hAnsi="Arial" w:cs="Arial"/>
          <w:sz w:val="22"/>
        </w:rPr>
        <w:t>„</w:t>
      </w:r>
      <w:r w:rsidR="00D11E0E">
        <w:rPr>
          <w:rFonts w:ascii="Arial" w:hAnsi="Arial" w:cs="Arial"/>
          <w:b/>
          <w:sz w:val="22"/>
        </w:rPr>
        <w:t>poskytovatel</w:t>
      </w:r>
      <w:r w:rsidRPr="00B06847">
        <w:rPr>
          <w:rFonts w:ascii="Arial" w:hAnsi="Arial" w:cs="Arial"/>
          <w:sz w:val="22"/>
        </w:rPr>
        <w:t>“)</w:t>
      </w:r>
    </w:p>
    <w:p w14:paraId="79F1FB41" w14:textId="52D7B2CB" w:rsidR="00D11E0E" w:rsidRDefault="00D11E0E" w:rsidP="00F03F8D">
      <w:pPr>
        <w:spacing w:after="60" w:line="240" w:lineRule="auto"/>
        <w:ind w:left="425" w:hanging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(objednatel a poskytovatel společně také jako „</w:t>
      </w:r>
      <w:r w:rsidRPr="00D11E0E">
        <w:rPr>
          <w:rFonts w:ascii="Arial" w:hAnsi="Arial" w:cs="Arial"/>
          <w:b/>
          <w:sz w:val="22"/>
        </w:rPr>
        <w:t>smluvní strany</w:t>
      </w:r>
      <w:r>
        <w:rPr>
          <w:rFonts w:ascii="Arial" w:hAnsi="Arial" w:cs="Arial"/>
          <w:sz w:val="22"/>
        </w:rPr>
        <w:t>“)</w:t>
      </w:r>
    </w:p>
    <w:p w14:paraId="6280C2D4" w14:textId="77777777" w:rsidR="00570251" w:rsidRDefault="00570251" w:rsidP="00F805A6">
      <w:pPr>
        <w:spacing w:after="120"/>
        <w:ind w:left="0" w:right="9" w:firstLine="0"/>
        <w:rPr>
          <w:rFonts w:ascii="Arial" w:hAnsi="Arial" w:cs="Arial"/>
          <w:sz w:val="22"/>
        </w:rPr>
      </w:pPr>
    </w:p>
    <w:p w14:paraId="00BF3C9A" w14:textId="15125C3E" w:rsidR="00F95304" w:rsidRDefault="00202470" w:rsidP="00F805A6">
      <w:pPr>
        <w:spacing w:after="120"/>
        <w:ind w:left="0" w:right="9" w:firstLine="0"/>
        <w:rPr>
          <w:rFonts w:ascii="Arial" w:hAnsi="Arial" w:cs="Arial"/>
          <w:sz w:val="22"/>
        </w:rPr>
      </w:pPr>
      <w:r w:rsidRPr="005347FD">
        <w:rPr>
          <w:rFonts w:ascii="Arial" w:hAnsi="Arial" w:cs="Arial"/>
          <w:sz w:val="22"/>
        </w:rPr>
        <w:t xml:space="preserve">uzavřely níže uvedeného </w:t>
      </w:r>
      <w:r w:rsidR="00361459">
        <w:rPr>
          <w:rFonts w:ascii="Arial" w:hAnsi="Arial" w:cs="Arial"/>
          <w:sz w:val="22"/>
        </w:rPr>
        <w:t xml:space="preserve">dne, měsíce a roku v souladu s § 222 odst. </w:t>
      </w:r>
      <w:r w:rsidR="00D11E0E">
        <w:rPr>
          <w:rFonts w:ascii="Arial" w:hAnsi="Arial" w:cs="Arial"/>
          <w:sz w:val="22"/>
        </w:rPr>
        <w:t>4</w:t>
      </w:r>
      <w:r w:rsidR="00CD216E">
        <w:rPr>
          <w:rFonts w:ascii="Arial" w:hAnsi="Arial" w:cs="Arial"/>
          <w:sz w:val="22"/>
        </w:rPr>
        <w:t xml:space="preserve"> </w:t>
      </w:r>
      <w:r w:rsidR="00361459">
        <w:rPr>
          <w:rFonts w:ascii="Arial" w:hAnsi="Arial" w:cs="Arial"/>
          <w:sz w:val="22"/>
        </w:rPr>
        <w:t>zákona</w:t>
      </w:r>
      <w:r w:rsidR="00306909">
        <w:rPr>
          <w:rFonts w:ascii="Arial" w:hAnsi="Arial" w:cs="Arial"/>
          <w:sz w:val="22"/>
        </w:rPr>
        <w:t xml:space="preserve"> č. 134/2016 Sb., o </w:t>
      </w:r>
      <w:r w:rsidRPr="005347FD">
        <w:rPr>
          <w:rFonts w:ascii="Arial" w:hAnsi="Arial" w:cs="Arial"/>
          <w:sz w:val="22"/>
        </w:rPr>
        <w:t xml:space="preserve">zadávání veřejných zakázek, ve znění pozdějších předpisů (dále jen „ZZVZ"), tento dodatek </w:t>
      </w:r>
      <w:r w:rsidR="00B077FA">
        <w:rPr>
          <w:rFonts w:ascii="Arial" w:hAnsi="Arial" w:cs="Arial"/>
          <w:sz w:val="22"/>
        </w:rPr>
        <w:t xml:space="preserve">číslo </w:t>
      </w:r>
      <w:r w:rsidR="006F2256">
        <w:rPr>
          <w:rFonts w:ascii="Arial" w:hAnsi="Arial" w:cs="Arial"/>
          <w:sz w:val="22"/>
        </w:rPr>
        <w:t>2</w:t>
      </w:r>
      <w:r w:rsidR="000F049B">
        <w:rPr>
          <w:rFonts w:ascii="Arial" w:hAnsi="Arial" w:cs="Arial"/>
          <w:sz w:val="22"/>
        </w:rPr>
        <w:t xml:space="preserve"> </w:t>
      </w:r>
      <w:r w:rsidRPr="005347FD">
        <w:rPr>
          <w:rFonts w:ascii="Arial" w:hAnsi="Arial" w:cs="Arial"/>
          <w:sz w:val="22"/>
        </w:rPr>
        <w:t>(dále jen „</w:t>
      </w:r>
      <w:r w:rsidR="00753B12">
        <w:rPr>
          <w:rFonts w:ascii="Arial" w:hAnsi="Arial" w:cs="Arial"/>
          <w:sz w:val="22"/>
        </w:rPr>
        <w:t>D</w:t>
      </w:r>
      <w:r w:rsidRPr="005347FD">
        <w:rPr>
          <w:rFonts w:ascii="Arial" w:hAnsi="Arial" w:cs="Arial"/>
          <w:sz w:val="22"/>
        </w:rPr>
        <w:t>odatek</w:t>
      </w:r>
      <w:r w:rsidR="00CD216E">
        <w:rPr>
          <w:rFonts w:ascii="Arial" w:hAnsi="Arial" w:cs="Arial"/>
          <w:sz w:val="22"/>
        </w:rPr>
        <w:t xml:space="preserve"> č. </w:t>
      </w:r>
      <w:r w:rsidR="006F2256">
        <w:rPr>
          <w:rFonts w:ascii="Arial" w:hAnsi="Arial" w:cs="Arial"/>
          <w:sz w:val="22"/>
        </w:rPr>
        <w:t>2</w:t>
      </w:r>
      <w:r w:rsidRPr="005347FD">
        <w:rPr>
          <w:rFonts w:ascii="Arial" w:hAnsi="Arial" w:cs="Arial"/>
          <w:sz w:val="22"/>
        </w:rPr>
        <w:t>”) ke</w:t>
      </w:r>
      <w:r w:rsidR="00D039B0">
        <w:rPr>
          <w:rFonts w:ascii="Arial" w:hAnsi="Arial" w:cs="Arial"/>
          <w:sz w:val="22"/>
        </w:rPr>
        <w:t xml:space="preserve"> S</w:t>
      </w:r>
      <w:r w:rsidRPr="005347FD">
        <w:rPr>
          <w:rFonts w:ascii="Arial" w:hAnsi="Arial" w:cs="Arial"/>
          <w:sz w:val="22"/>
        </w:rPr>
        <w:t xml:space="preserve">mlouvě o </w:t>
      </w:r>
      <w:r w:rsidR="00D039B0">
        <w:rPr>
          <w:rFonts w:ascii="Arial" w:hAnsi="Arial" w:cs="Arial"/>
          <w:sz w:val="22"/>
        </w:rPr>
        <w:t xml:space="preserve">poskytování </w:t>
      </w:r>
      <w:r w:rsidR="00D11E0E" w:rsidRPr="00D11E0E">
        <w:rPr>
          <w:rFonts w:ascii="Arial" w:hAnsi="Arial" w:cs="Arial"/>
          <w:sz w:val="22"/>
        </w:rPr>
        <w:t>host-broadcastingových služeb</w:t>
      </w:r>
      <w:r w:rsidR="00D039B0">
        <w:rPr>
          <w:rFonts w:ascii="Arial" w:hAnsi="Arial" w:cs="Arial"/>
          <w:sz w:val="22"/>
        </w:rPr>
        <w:t xml:space="preserve"> uzavřené dne </w:t>
      </w:r>
      <w:r w:rsidR="00EC2398">
        <w:rPr>
          <w:rFonts w:ascii="Arial" w:hAnsi="Arial" w:cs="Arial"/>
          <w:sz w:val="22"/>
        </w:rPr>
        <w:t>15.</w:t>
      </w:r>
      <w:r w:rsidR="00A00FFE">
        <w:rPr>
          <w:rFonts w:ascii="Arial" w:hAnsi="Arial" w:cs="Arial"/>
          <w:sz w:val="22"/>
        </w:rPr>
        <w:t xml:space="preserve"> </w:t>
      </w:r>
      <w:r w:rsidR="00EC2398">
        <w:rPr>
          <w:rFonts w:ascii="Arial" w:hAnsi="Arial" w:cs="Arial"/>
          <w:sz w:val="22"/>
        </w:rPr>
        <w:t>06.</w:t>
      </w:r>
      <w:r w:rsidR="00A00FFE">
        <w:rPr>
          <w:rFonts w:ascii="Arial" w:hAnsi="Arial" w:cs="Arial"/>
          <w:sz w:val="22"/>
        </w:rPr>
        <w:t xml:space="preserve"> </w:t>
      </w:r>
      <w:r w:rsidR="00EC2398">
        <w:rPr>
          <w:rFonts w:ascii="Arial" w:hAnsi="Arial" w:cs="Arial"/>
          <w:sz w:val="22"/>
        </w:rPr>
        <w:t>2022</w:t>
      </w:r>
      <w:r w:rsidRPr="005347FD">
        <w:rPr>
          <w:rFonts w:ascii="Arial" w:hAnsi="Arial" w:cs="Arial"/>
          <w:sz w:val="22"/>
        </w:rPr>
        <w:t>.</w:t>
      </w:r>
    </w:p>
    <w:p w14:paraId="4CD10DAC" w14:textId="77777777" w:rsidR="00361459" w:rsidRPr="005347FD" w:rsidRDefault="00361459" w:rsidP="00F805A6">
      <w:pPr>
        <w:spacing w:after="120"/>
        <w:ind w:left="0" w:right="9" w:firstLine="0"/>
        <w:rPr>
          <w:rFonts w:ascii="Arial" w:hAnsi="Arial" w:cs="Arial"/>
          <w:sz w:val="22"/>
        </w:rPr>
      </w:pPr>
    </w:p>
    <w:p w14:paraId="0B064C11" w14:textId="77777777" w:rsidR="00F95304" w:rsidRPr="00A90660" w:rsidRDefault="00202470">
      <w:pPr>
        <w:spacing w:after="0" w:line="259" w:lineRule="auto"/>
        <w:ind w:left="96" w:firstLine="0"/>
        <w:jc w:val="center"/>
        <w:rPr>
          <w:rFonts w:ascii="Arial" w:hAnsi="Arial" w:cs="Arial"/>
          <w:b/>
          <w:sz w:val="22"/>
        </w:rPr>
      </w:pPr>
      <w:r w:rsidRPr="00A90660">
        <w:rPr>
          <w:rFonts w:ascii="Arial" w:hAnsi="Arial" w:cs="Arial"/>
          <w:b/>
          <w:sz w:val="22"/>
        </w:rPr>
        <w:t>Článek I</w:t>
      </w:r>
    </w:p>
    <w:p w14:paraId="0BA0CDB8" w14:textId="77777777" w:rsidR="00F95304" w:rsidRDefault="00202470" w:rsidP="00842B24">
      <w:pPr>
        <w:spacing w:after="187" w:line="259" w:lineRule="auto"/>
        <w:jc w:val="center"/>
        <w:rPr>
          <w:rFonts w:ascii="Arial" w:hAnsi="Arial" w:cs="Arial"/>
          <w:b/>
          <w:sz w:val="22"/>
        </w:rPr>
      </w:pPr>
      <w:r w:rsidRPr="00842B24">
        <w:rPr>
          <w:rFonts w:ascii="Arial" w:hAnsi="Arial" w:cs="Arial"/>
          <w:b/>
          <w:sz w:val="22"/>
        </w:rPr>
        <w:t>Předmět dodatku</w:t>
      </w:r>
    </w:p>
    <w:p w14:paraId="3EBB5E55" w14:textId="00CD9D20" w:rsidR="007B3807" w:rsidRPr="00152BCA" w:rsidRDefault="00E46E33" w:rsidP="00152BCA">
      <w:pPr>
        <w:pStyle w:val="Odstavecseseznamem"/>
        <w:numPr>
          <w:ilvl w:val="0"/>
          <w:numId w:val="3"/>
        </w:numPr>
        <w:spacing w:before="120" w:after="120"/>
        <w:ind w:left="425" w:right="11" w:hanging="357"/>
        <w:contextualSpacing w:val="0"/>
        <w:rPr>
          <w:rFonts w:ascii="Arial" w:hAnsi="Arial" w:cs="Arial"/>
          <w:color w:val="auto"/>
          <w:sz w:val="22"/>
        </w:rPr>
      </w:pPr>
      <w:r w:rsidRPr="00152BCA">
        <w:rPr>
          <w:rFonts w:ascii="Arial" w:hAnsi="Arial" w:cs="Arial"/>
          <w:sz w:val="22"/>
        </w:rPr>
        <w:t>Smluvní</w:t>
      </w:r>
      <w:r w:rsidRPr="00152BCA">
        <w:rPr>
          <w:rFonts w:ascii="Arial" w:hAnsi="Arial" w:cs="Arial"/>
          <w:color w:val="auto"/>
          <w:sz w:val="22"/>
        </w:rPr>
        <w:t xml:space="preserve"> strany mez</w:t>
      </w:r>
      <w:r w:rsidR="007629A6" w:rsidRPr="00152BCA">
        <w:rPr>
          <w:rFonts w:ascii="Arial" w:hAnsi="Arial" w:cs="Arial"/>
          <w:color w:val="auto"/>
          <w:sz w:val="22"/>
        </w:rPr>
        <w:t xml:space="preserve">i sebou uzavřely dne </w:t>
      </w:r>
      <w:r w:rsidR="00EC2398">
        <w:rPr>
          <w:rFonts w:ascii="Arial" w:hAnsi="Arial" w:cs="Arial"/>
          <w:color w:val="auto"/>
          <w:sz w:val="22"/>
        </w:rPr>
        <w:t>15.</w:t>
      </w:r>
      <w:r w:rsidR="00A00FFE">
        <w:rPr>
          <w:rFonts w:ascii="Arial" w:hAnsi="Arial" w:cs="Arial"/>
          <w:color w:val="auto"/>
          <w:sz w:val="22"/>
        </w:rPr>
        <w:t xml:space="preserve"> </w:t>
      </w:r>
      <w:r w:rsidR="00EC2398">
        <w:rPr>
          <w:rFonts w:ascii="Arial" w:hAnsi="Arial" w:cs="Arial"/>
          <w:color w:val="auto"/>
          <w:sz w:val="22"/>
        </w:rPr>
        <w:t>06.</w:t>
      </w:r>
      <w:r w:rsidR="00A00FFE">
        <w:rPr>
          <w:rFonts w:ascii="Arial" w:hAnsi="Arial" w:cs="Arial"/>
          <w:color w:val="auto"/>
          <w:sz w:val="22"/>
        </w:rPr>
        <w:t xml:space="preserve"> </w:t>
      </w:r>
      <w:r w:rsidR="00EC2398">
        <w:rPr>
          <w:rFonts w:ascii="Arial" w:hAnsi="Arial" w:cs="Arial"/>
          <w:color w:val="auto"/>
          <w:sz w:val="22"/>
        </w:rPr>
        <w:t>2022</w:t>
      </w:r>
      <w:r w:rsidR="00152BCA" w:rsidRPr="00152BCA">
        <w:rPr>
          <w:rFonts w:ascii="Arial" w:hAnsi="Arial" w:cs="Arial"/>
          <w:color w:val="auto"/>
          <w:sz w:val="22"/>
        </w:rPr>
        <w:t xml:space="preserve"> Smlouvu o </w:t>
      </w:r>
      <w:r w:rsidR="00152BCA" w:rsidRPr="00152BCA">
        <w:rPr>
          <w:rFonts w:ascii="Arial" w:hAnsi="Arial" w:cs="Arial"/>
          <w:sz w:val="22"/>
        </w:rPr>
        <w:t>poskytování host-broadcastingových služeb</w:t>
      </w:r>
      <w:r w:rsidRPr="00152BCA">
        <w:rPr>
          <w:rFonts w:ascii="Arial" w:hAnsi="Arial" w:cs="Arial"/>
          <w:color w:val="auto"/>
          <w:sz w:val="22"/>
        </w:rPr>
        <w:t xml:space="preserve">, </w:t>
      </w:r>
      <w:r w:rsidR="00D71341" w:rsidRPr="00152BCA">
        <w:rPr>
          <w:rFonts w:ascii="Arial" w:hAnsi="Arial" w:cs="Arial"/>
          <w:color w:val="auto"/>
          <w:sz w:val="22"/>
        </w:rPr>
        <w:t xml:space="preserve">č. j. </w:t>
      </w:r>
      <w:r w:rsidR="00152BCA" w:rsidRPr="00152BCA">
        <w:rPr>
          <w:rFonts w:ascii="Arial" w:hAnsi="Arial" w:cs="Arial"/>
          <w:bCs/>
          <w:color w:val="auto"/>
          <w:sz w:val="22"/>
        </w:rPr>
        <w:t>20002</w:t>
      </w:r>
      <w:r w:rsidR="00786D0E" w:rsidRPr="00152BCA">
        <w:rPr>
          <w:rFonts w:ascii="Arial" w:hAnsi="Arial" w:cs="Arial"/>
          <w:bCs/>
          <w:color w:val="auto"/>
          <w:sz w:val="22"/>
        </w:rPr>
        <w:t>/2022</w:t>
      </w:r>
      <w:r w:rsidR="00786D0E" w:rsidRPr="00152BCA">
        <w:rPr>
          <w:rFonts w:ascii="Arial" w:eastAsia="Times New Roman" w:hAnsi="Arial" w:cs="Arial"/>
          <w:color w:val="auto"/>
          <w:spacing w:val="-2"/>
          <w:sz w:val="22"/>
        </w:rPr>
        <w:t>-</w:t>
      </w:r>
      <w:r w:rsidR="00786D0E" w:rsidRPr="00152BCA">
        <w:rPr>
          <w:rFonts w:ascii="Arial" w:eastAsia="Times New Roman" w:hAnsi="Arial" w:cs="Arial"/>
          <w:color w:val="auto"/>
          <w:sz w:val="22"/>
        </w:rPr>
        <w:t>UVCR-</w:t>
      </w:r>
      <w:r w:rsidR="00152BCA" w:rsidRPr="00152BCA">
        <w:rPr>
          <w:rFonts w:ascii="Arial" w:hAnsi="Arial" w:cs="Arial"/>
          <w:color w:val="auto"/>
          <w:sz w:val="22"/>
          <w:shd w:val="clear" w:color="auto" w:fill="FFFFFF"/>
        </w:rPr>
        <w:t>2,</w:t>
      </w:r>
      <w:r w:rsidR="00D71341" w:rsidRPr="00152BCA">
        <w:rPr>
          <w:rFonts w:ascii="Arial" w:hAnsi="Arial" w:cs="Arial"/>
          <w:color w:val="auto"/>
          <w:sz w:val="22"/>
        </w:rPr>
        <w:t xml:space="preserve"> </w:t>
      </w:r>
      <w:r w:rsidR="00231702" w:rsidRPr="00152BCA">
        <w:rPr>
          <w:rFonts w:ascii="Arial" w:hAnsi="Arial" w:cs="Arial"/>
          <w:color w:val="auto"/>
          <w:sz w:val="22"/>
        </w:rPr>
        <w:t>č. S</w:t>
      </w:r>
      <w:r w:rsidRPr="00152BCA">
        <w:rPr>
          <w:rFonts w:ascii="Arial" w:hAnsi="Arial" w:cs="Arial"/>
          <w:color w:val="auto"/>
          <w:sz w:val="22"/>
        </w:rPr>
        <w:t xml:space="preserve">mlouvy </w:t>
      </w:r>
      <w:r w:rsidR="00D71341" w:rsidRPr="00152BCA">
        <w:rPr>
          <w:rFonts w:ascii="Arial" w:hAnsi="Arial" w:cs="Arial"/>
          <w:color w:val="auto"/>
          <w:sz w:val="22"/>
        </w:rPr>
        <w:t xml:space="preserve">objednatele </w:t>
      </w:r>
      <w:r w:rsidR="00786D0E" w:rsidRPr="00152BCA">
        <w:rPr>
          <w:rFonts w:ascii="Arial" w:eastAsia="Times New Roman" w:hAnsi="Arial" w:cs="Arial"/>
          <w:color w:val="auto"/>
          <w:spacing w:val="1"/>
          <w:sz w:val="22"/>
        </w:rPr>
        <w:t>22</w:t>
      </w:r>
      <w:r w:rsidR="00786D0E" w:rsidRPr="00152BCA">
        <w:rPr>
          <w:rFonts w:ascii="Arial" w:eastAsia="Times New Roman" w:hAnsi="Arial" w:cs="Arial"/>
          <w:color w:val="auto"/>
          <w:sz w:val="22"/>
        </w:rPr>
        <w:t>/</w:t>
      </w:r>
      <w:r w:rsidR="00786D0E" w:rsidRPr="00152BCA">
        <w:rPr>
          <w:rFonts w:ascii="Arial" w:hAnsi="Arial" w:cs="Arial"/>
          <w:color w:val="auto"/>
          <w:sz w:val="22"/>
          <w:shd w:val="clear" w:color="auto" w:fill="FFFFFF"/>
        </w:rPr>
        <w:t>1</w:t>
      </w:r>
      <w:r w:rsidR="00152BCA" w:rsidRPr="00152BCA">
        <w:rPr>
          <w:rFonts w:ascii="Arial" w:hAnsi="Arial" w:cs="Arial"/>
          <w:color w:val="auto"/>
          <w:sz w:val="22"/>
          <w:shd w:val="clear" w:color="auto" w:fill="FFFFFF"/>
        </w:rPr>
        <w:t>64</w:t>
      </w:r>
      <w:r w:rsidR="00786D0E" w:rsidRPr="00152BCA">
        <w:rPr>
          <w:rFonts w:ascii="Arial" w:eastAsia="Times New Roman" w:hAnsi="Arial" w:cs="Arial"/>
          <w:color w:val="auto"/>
          <w:spacing w:val="-2"/>
          <w:sz w:val="22"/>
        </w:rPr>
        <w:t>-</w:t>
      </w:r>
      <w:r w:rsidR="00786D0E" w:rsidRPr="00152BCA">
        <w:rPr>
          <w:rFonts w:ascii="Arial" w:eastAsia="Times New Roman" w:hAnsi="Arial" w:cs="Arial"/>
          <w:color w:val="auto"/>
          <w:sz w:val="22"/>
        </w:rPr>
        <w:t>0</w:t>
      </w:r>
      <w:r w:rsidRPr="00152BCA">
        <w:rPr>
          <w:rFonts w:ascii="Arial" w:hAnsi="Arial" w:cs="Arial"/>
          <w:color w:val="auto"/>
          <w:sz w:val="22"/>
        </w:rPr>
        <w:t xml:space="preserve"> </w:t>
      </w:r>
      <w:r w:rsidR="005B61E3">
        <w:rPr>
          <w:rFonts w:ascii="Arial" w:hAnsi="Arial" w:cs="Arial"/>
          <w:color w:val="auto"/>
          <w:sz w:val="22"/>
        </w:rPr>
        <w:t xml:space="preserve">ve znění dodatku č. 1 </w:t>
      </w:r>
      <w:r w:rsidR="003E4923">
        <w:rPr>
          <w:rFonts w:ascii="Arial" w:hAnsi="Arial" w:cs="Arial"/>
          <w:color w:val="auto"/>
          <w:sz w:val="22"/>
        </w:rPr>
        <w:t xml:space="preserve">VER222-00094 </w:t>
      </w:r>
      <w:r w:rsidR="005B61E3" w:rsidRPr="003E4923">
        <w:rPr>
          <w:rFonts w:ascii="Arial" w:hAnsi="Arial" w:cs="Arial"/>
          <w:color w:val="auto"/>
          <w:sz w:val="22"/>
        </w:rPr>
        <w:t xml:space="preserve">ze dne </w:t>
      </w:r>
      <w:r w:rsidR="006F2256" w:rsidRPr="003E4923">
        <w:rPr>
          <w:rFonts w:ascii="Arial" w:hAnsi="Arial" w:cs="Arial"/>
          <w:color w:val="auto"/>
          <w:sz w:val="22"/>
        </w:rPr>
        <w:t>22.</w:t>
      </w:r>
      <w:r w:rsidR="00A00FFE">
        <w:rPr>
          <w:rFonts w:ascii="Arial" w:hAnsi="Arial" w:cs="Arial"/>
          <w:color w:val="auto"/>
          <w:sz w:val="22"/>
        </w:rPr>
        <w:t xml:space="preserve"> </w:t>
      </w:r>
      <w:r w:rsidR="006F2256" w:rsidRPr="003E4923">
        <w:rPr>
          <w:rFonts w:ascii="Arial" w:hAnsi="Arial" w:cs="Arial"/>
          <w:color w:val="auto"/>
          <w:sz w:val="22"/>
        </w:rPr>
        <w:t>7.</w:t>
      </w:r>
      <w:r w:rsidR="00A00FFE">
        <w:rPr>
          <w:rFonts w:ascii="Arial" w:hAnsi="Arial" w:cs="Arial"/>
          <w:color w:val="auto"/>
          <w:sz w:val="22"/>
        </w:rPr>
        <w:t xml:space="preserve"> </w:t>
      </w:r>
      <w:r w:rsidR="006F2256" w:rsidRPr="003E4923">
        <w:rPr>
          <w:rFonts w:ascii="Arial" w:hAnsi="Arial" w:cs="Arial"/>
          <w:color w:val="auto"/>
          <w:sz w:val="22"/>
        </w:rPr>
        <w:t>2022</w:t>
      </w:r>
      <w:r w:rsidR="005B61E3" w:rsidRPr="003E4923">
        <w:rPr>
          <w:rFonts w:ascii="Arial" w:hAnsi="Arial" w:cs="Arial"/>
          <w:color w:val="auto"/>
          <w:sz w:val="22"/>
        </w:rPr>
        <w:t xml:space="preserve"> </w:t>
      </w:r>
      <w:r w:rsidRPr="003E4923">
        <w:rPr>
          <w:rFonts w:ascii="Arial" w:hAnsi="Arial" w:cs="Arial"/>
          <w:color w:val="auto"/>
          <w:sz w:val="22"/>
        </w:rPr>
        <w:t>(dále</w:t>
      </w:r>
      <w:r w:rsidRPr="00152BCA">
        <w:rPr>
          <w:rFonts w:ascii="Arial" w:hAnsi="Arial" w:cs="Arial"/>
          <w:color w:val="auto"/>
          <w:sz w:val="22"/>
        </w:rPr>
        <w:t xml:space="preserve"> jen „Smlouva“), jejímž předmětem je </w:t>
      </w:r>
      <w:r w:rsidR="007B3807" w:rsidRPr="00152BCA">
        <w:rPr>
          <w:rFonts w:ascii="Arial" w:hAnsi="Arial" w:cs="Arial"/>
          <w:color w:val="auto"/>
          <w:sz w:val="22"/>
        </w:rPr>
        <w:lastRenderedPageBreak/>
        <w:t xml:space="preserve">závazek </w:t>
      </w:r>
      <w:r w:rsidR="00152BCA" w:rsidRPr="00152BCA">
        <w:rPr>
          <w:rFonts w:ascii="Arial" w:hAnsi="Arial" w:cs="Arial"/>
          <w:color w:val="auto"/>
          <w:sz w:val="22"/>
        </w:rPr>
        <w:t>poskytovatele</w:t>
      </w:r>
      <w:r w:rsidR="007B3807" w:rsidRPr="00152BCA">
        <w:rPr>
          <w:rFonts w:ascii="Arial" w:hAnsi="Arial" w:cs="Arial"/>
          <w:color w:val="auto"/>
          <w:sz w:val="22"/>
        </w:rPr>
        <w:t xml:space="preserve"> </w:t>
      </w:r>
      <w:r w:rsidR="00152BCA" w:rsidRPr="00152BCA">
        <w:rPr>
          <w:rFonts w:ascii="Arial" w:hAnsi="Arial" w:cs="Arial"/>
          <w:color w:val="auto"/>
          <w:sz w:val="22"/>
        </w:rPr>
        <w:t>zajistit služby host-broadcastera spočívající v zajištění a zprostředkování mediálního pokrytí nejvyšších politických akcí v rámci předsednictví České republiky v Radě EU v druhé polovině roku 2022 českým i zahraničním partnerům</w:t>
      </w:r>
      <w:r w:rsidR="007B3807" w:rsidRPr="00152BCA">
        <w:rPr>
          <w:rFonts w:ascii="Arial" w:hAnsi="Arial" w:cs="Arial"/>
          <w:color w:val="auto"/>
          <w:sz w:val="22"/>
        </w:rPr>
        <w:t xml:space="preserve">, přičemž </w:t>
      </w:r>
      <w:r w:rsidR="00152BCA">
        <w:rPr>
          <w:rFonts w:ascii="Arial" w:hAnsi="Arial" w:cs="Arial"/>
          <w:color w:val="auto"/>
          <w:sz w:val="22"/>
        </w:rPr>
        <w:t xml:space="preserve">seznam předmětných akcí je uveden </w:t>
      </w:r>
      <w:r w:rsidR="007B3807" w:rsidRPr="00152BCA">
        <w:rPr>
          <w:rFonts w:ascii="Arial" w:hAnsi="Arial" w:cs="Arial"/>
          <w:color w:val="auto"/>
          <w:sz w:val="22"/>
        </w:rPr>
        <w:t xml:space="preserve">v příloze č. </w:t>
      </w:r>
      <w:r w:rsidR="00152BCA">
        <w:rPr>
          <w:rFonts w:ascii="Arial" w:hAnsi="Arial" w:cs="Arial"/>
          <w:color w:val="auto"/>
          <w:sz w:val="22"/>
        </w:rPr>
        <w:t>1 Smlouvy</w:t>
      </w:r>
      <w:r w:rsidR="007B3807" w:rsidRPr="00152BCA">
        <w:rPr>
          <w:rFonts w:ascii="Arial" w:hAnsi="Arial" w:cs="Arial"/>
          <w:color w:val="auto"/>
          <w:sz w:val="22"/>
        </w:rPr>
        <w:t xml:space="preserve">, a závazek objednatele </w:t>
      </w:r>
      <w:r w:rsidR="00152BCA" w:rsidRPr="00152BCA">
        <w:rPr>
          <w:rFonts w:ascii="Arial" w:hAnsi="Arial" w:cs="Arial"/>
          <w:color w:val="auto"/>
          <w:sz w:val="22"/>
        </w:rPr>
        <w:t>řádně a včas provedené služby převzít a zaplatit poskytovateli smluvní cenu</w:t>
      </w:r>
      <w:r w:rsidR="007B3807" w:rsidRPr="00152BCA">
        <w:rPr>
          <w:rFonts w:ascii="Arial" w:hAnsi="Arial" w:cs="Arial"/>
          <w:color w:val="auto"/>
          <w:sz w:val="22"/>
        </w:rPr>
        <w:t>.</w:t>
      </w:r>
      <w:r w:rsidR="00CD216E" w:rsidRPr="00152BCA">
        <w:rPr>
          <w:rFonts w:ascii="Arial" w:hAnsi="Arial" w:cs="Arial"/>
          <w:color w:val="auto"/>
          <w:sz w:val="22"/>
        </w:rPr>
        <w:t xml:space="preserve"> </w:t>
      </w:r>
    </w:p>
    <w:p w14:paraId="351EB826" w14:textId="5D945388" w:rsidR="007B3807" w:rsidRDefault="007B3807" w:rsidP="001F5E14">
      <w:pPr>
        <w:pStyle w:val="Odstavecseseznamem"/>
        <w:numPr>
          <w:ilvl w:val="0"/>
          <w:numId w:val="3"/>
        </w:numPr>
        <w:spacing w:before="360" w:after="120"/>
        <w:ind w:left="425" w:right="11" w:hanging="357"/>
        <w:contextualSpacing w:val="0"/>
        <w:rPr>
          <w:rFonts w:ascii="Arial" w:hAnsi="Arial" w:cs="Arial"/>
          <w:sz w:val="22"/>
        </w:rPr>
      </w:pPr>
      <w:r w:rsidRPr="001A06E1">
        <w:rPr>
          <w:rFonts w:ascii="Arial" w:hAnsi="Arial" w:cs="Arial"/>
          <w:sz w:val="22"/>
        </w:rPr>
        <w:t xml:space="preserve">Vzhledem k tomu, že v průběhu účinnosti (trvání) Smlouvy </w:t>
      </w:r>
      <w:r w:rsidR="00152BCA">
        <w:rPr>
          <w:rFonts w:ascii="Arial" w:hAnsi="Arial" w:cs="Arial"/>
          <w:sz w:val="22"/>
        </w:rPr>
        <w:t>vyvstala</w:t>
      </w:r>
      <w:r w:rsidRPr="001A06E1">
        <w:rPr>
          <w:rFonts w:ascii="Arial" w:hAnsi="Arial" w:cs="Arial"/>
          <w:sz w:val="22"/>
        </w:rPr>
        <w:t xml:space="preserve"> </w:t>
      </w:r>
      <w:r w:rsidR="00786D0E">
        <w:rPr>
          <w:rFonts w:ascii="Arial" w:hAnsi="Arial" w:cs="Arial"/>
          <w:sz w:val="22"/>
        </w:rPr>
        <w:t xml:space="preserve">potřeba v podobě </w:t>
      </w:r>
      <w:r w:rsidR="00152BCA">
        <w:rPr>
          <w:rFonts w:ascii="Arial" w:hAnsi="Arial" w:cs="Arial"/>
          <w:sz w:val="22"/>
        </w:rPr>
        <w:t xml:space="preserve">pokrytí další, neplánované, akce, která není zahrnuta v příloze č. 1 </w:t>
      </w:r>
      <w:r w:rsidR="000262D6">
        <w:rPr>
          <w:rFonts w:ascii="Arial" w:hAnsi="Arial" w:cs="Arial"/>
          <w:sz w:val="22"/>
        </w:rPr>
        <w:t xml:space="preserve">a 2 </w:t>
      </w:r>
      <w:r w:rsidR="00152BCA">
        <w:rPr>
          <w:rFonts w:ascii="Arial" w:hAnsi="Arial" w:cs="Arial"/>
          <w:sz w:val="22"/>
        </w:rPr>
        <w:t>Smlouvy</w:t>
      </w:r>
      <w:r w:rsidR="00E878A1" w:rsidRPr="001A06E1">
        <w:rPr>
          <w:rFonts w:ascii="Arial" w:hAnsi="Arial" w:cs="Arial"/>
          <w:sz w:val="22"/>
        </w:rPr>
        <w:t>, dohodly se smluvní strany</w:t>
      </w:r>
      <w:r w:rsidR="00152BCA">
        <w:rPr>
          <w:rFonts w:ascii="Arial" w:hAnsi="Arial" w:cs="Arial"/>
          <w:sz w:val="22"/>
        </w:rPr>
        <w:t xml:space="preserve"> v souladu s článkem III. odst. 2 Smlouvy,</w:t>
      </w:r>
      <w:r w:rsidR="00E878A1" w:rsidRPr="001A06E1">
        <w:rPr>
          <w:rFonts w:ascii="Arial" w:hAnsi="Arial" w:cs="Arial"/>
          <w:sz w:val="22"/>
        </w:rPr>
        <w:t xml:space="preserve"> na změně </w:t>
      </w:r>
      <w:r w:rsidR="00E26B91" w:rsidRPr="001A06E1">
        <w:rPr>
          <w:rFonts w:ascii="Arial" w:hAnsi="Arial" w:cs="Arial"/>
          <w:sz w:val="22"/>
        </w:rPr>
        <w:t xml:space="preserve">závazku ze </w:t>
      </w:r>
      <w:r w:rsidR="00E878A1" w:rsidRPr="001A06E1">
        <w:rPr>
          <w:rFonts w:ascii="Arial" w:hAnsi="Arial" w:cs="Arial"/>
          <w:sz w:val="22"/>
        </w:rPr>
        <w:t>Smlouvy</w:t>
      </w:r>
      <w:r w:rsidR="00E26B91" w:rsidRPr="001A06E1">
        <w:rPr>
          <w:rFonts w:ascii="Arial" w:hAnsi="Arial" w:cs="Arial"/>
          <w:sz w:val="22"/>
        </w:rPr>
        <w:t xml:space="preserve"> na veřejnou zakázku</w:t>
      </w:r>
      <w:r w:rsidR="00E878A1" w:rsidRPr="001A06E1">
        <w:rPr>
          <w:rFonts w:ascii="Arial" w:hAnsi="Arial" w:cs="Arial"/>
          <w:sz w:val="22"/>
        </w:rPr>
        <w:t xml:space="preserve">. </w:t>
      </w:r>
      <w:r w:rsidR="00395163">
        <w:rPr>
          <w:rFonts w:ascii="Arial" w:hAnsi="Arial" w:cs="Arial"/>
          <w:sz w:val="22"/>
        </w:rPr>
        <w:t>Zadavatel je oprávněn provést tuto změnu závazku ze Smlouvy</w:t>
      </w:r>
      <w:r w:rsidR="00164433">
        <w:rPr>
          <w:rFonts w:ascii="Arial" w:hAnsi="Arial" w:cs="Arial"/>
          <w:sz w:val="22"/>
        </w:rPr>
        <w:t xml:space="preserve"> dle § 222 odst. </w:t>
      </w:r>
      <w:r w:rsidR="00152BCA">
        <w:rPr>
          <w:rFonts w:ascii="Arial" w:hAnsi="Arial" w:cs="Arial"/>
          <w:sz w:val="22"/>
        </w:rPr>
        <w:t>4</w:t>
      </w:r>
      <w:r w:rsidR="00164433">
        <w:rPr>
          <w:rFonts w:ascii="Arial" w:hAnsi="Arial" w:cs="Arial"/>
          <w:sz w:val="22"/>
        </w:rPr>
        <w:t xml:space="preserve"> ZZVZ</w:t>
      </w:r>
      <w:r w:rsidR="00395163">
        <w:rPr>
          <w:rFonts w:ascii="Arial" w:hAnsi="Arial" w:cs="Arial"/>
          <w:sz w:val="22"/>
        </w:rPr>
        <w:t xml:space="preserve">, aniž by byl nucen realizovat </w:t>
      </w:r>
      <w:r w:rsidR="00C61538">
        <w:rPr>
          <w:rFonts w:ascii="Arial" w:hAnsi="Arial" w:cs="Arial"/>
          <w:sz w:val="22"/>
        </w:rPr>
        <w:t>nové</w:t>
      </w:r>
      <w:r w:rsidR="00395163">
        <w:rPr>
          <w:rFonts w:ascii="Arial" w:hAnsi="Arial" w:cs="Arial"/>
          <w:sz w:val="22"/>
        </w:rPr>
        <w:t xml:space="preserve"> zad</w:t>
      </w:r>
      <w:r w:rsidR="00164433">
        <w:rPr>
          <w:rFonts w:ascii="Arial" w:hAnsi="Arial" w:cs="Arial"/>
          <w:sz w:val="22"/>
        </w:rPr>
        <w:t xml:space="preserve">ávací řízení. </w:t>
      </w:r>
      <w:r w:rsidR="00E74F65">
        <w:rPr>
          <w:rFonts w:ascii="Arial" w:hAnsi="Arial" w:cs="Arial"/>
          <w:sz w:val="22"/>
        </w:rPr>
        <w:t>Z</w:t>
      </w:r>
      <w:r w:rsidR="00E74F65" w:rsidRPr="001A06E1">
        <w:rPr>
          <w:rFonts w:ascii="Arial" w:hAnsi="Arial" w:cs="Arial"/>
          <w:sz w:val="22"/>
        </w:rPr>
        <w:t>měn</w:t>
      </w:r>
      <w:r w:rsidR="00E74F65">
        <w:rPr>
          <w:rFonts w:ascii="Arial" w:hAnsi="Arial" w:cs="Arial"/>
          <w:sz w:val="22"/>
        </w:rPr>
        <w:t>a</w:t>
      </w:r>
      <w:r w:rsidR="00E74F65" w:rsidRPr="001A06E1">
        <w:rPr>
          <w:rFonts w:ascii="Arial" w:hAnsi="Arial" w:cs="Arial"/>
          <w:sz w:val="22"/>
        </w:rPr>
        <w:t xml:space="preserve"> závazku ze Smlouvy nemění celkovou povahu veřejné zakázky</w:t>
      </w:r>
      <w:r w:rsidR="00E74F65">
        <w:rPr>
          <w:rFonts w:ascii="Arial" w:hAnsi="Arial" w:cs="Arial"/>
          <w:sz w:val="22"/>
        </w:rPr>
        <w:t>, je povolenou, nepodstatnou změnou a její hodnota nepřekročí 10</w:t>
      </w:r>
      <w:r w:rsidR="005B3939">
        <w:rPr>
          <w:rFonts w:ascii="Arial" w:hAnsi="Arial" w:cs="Arial"/>
          <w:sz w:val="22"/>
        </w:rPr>
        <w:t xml:space="preserve"> </w:t>
      </w:r>
      <w:r w:rsidR="00E74F65">
        <w:rPr>
          <w:rFonts w:ascii="Arial" w:hAnsi="Arial" w:cs="Arial"/>
          <w:sz w:val="22"/>
        </w:rPr>
        <w:t>% hodnoty původního závazku ze Smlouvy</w:t>
      </w:r>
      <w:r w:rsidR="00753B12">
        <w:rPr>
          <w:rFonts w:ascii="Arial" w:hAnsi="Arial" w:cs="Arial"/>
          <w:sz w:val="22"/>
        </w:rPr>
        <w:t>, jelikož</w:t>
      </w:r>
      <w:r w:rsidR="00152BCA">
        <w:rPr>
          <w:rFonts w:ascii="Arial" w:hAnsi="Arial" w:cs="Arial"/>
          <w:sz w:val="22"/>
        </w:rPr>
        <w:t xml:space="preserve"> změna závazku provedená na základě tohoto Dodatku č. </w:t>
      </w:r>
      <w:r w:rsidR="006F2256">
        <w:rPr>
          <w:rFonts w:ascii="Arial" w:hAnsi="Arial" w:cs="Arial"/>
          <w:sz w:val="22"/>
        </w:rPr>
        <w:t>2</w:t>
      </w:r>
      <w:r w:rsidR="00152BCA">
        <w:rPr>
          <w:rFonts w:ascii="Arial" w:hAnsi="Arial" w:cs="Arial"/>
          <w:sz w:val="22"/>
        </w:rPr>
        <w:t xml:space="preserve"> nemění (tj. ne</w:t>
      </w:r>
      <w:r w:rsidR="00753B12">
        <w:rPr>
          <w:rFonts w:ascii="Arial" w:hAnsi="Arial" w:cs="Arial"/>
          <w:sz w:val="22"/>
        </w:rPr>
        <w:t>z</w:t>
      </w:r>
      <w:r w:rsidR="00152BCA">
        <w:rPr>
          <w:rFonts w:ascii="Arial" w:hAnsi="Arial" w:cs="Arial"/>
          <w:sz w:val="22"/>
        </w:rPr>
        <w:t>vyšuje ani nesnižuje) sjednanou smluvní cenu</w:t>
      </w:r>
      <w:r w:rsidR="005B3939">
        <w:rPr>
          <w:rFonts w:ascii="Arial" w:hAnsi="Arial" w:cs="Arial"/>
          <w:sz w:val="22"/>
        </w:rPr>
        <w:t>,</w:t>
      </w:r>
      <w:r w:rsidR="00152BCA">
        <w:rPr>
          <w:rFonts w:ascii="Arial" w:hAnsi="Arial" w:cs="Arial"/>
          <w:sz w:val="22"/>
        </w:rPr>
        <w:t xml:space="preserve"> </w:t>
      </w:r>
      <w:r w:rsidR="00753B12">
        <w:rPr>
          <w:rFonts w:ascii="Arial" w:hAnsi="Arial" w:cs="Arial"/>
          <w:sz w:val="22"/>
        </w:rPr>
        <w:t>a tudíž nemění původní hodnotu závazku.</w:t>
      </w:r>
      <w:r w:rsidR="00152BCA">
        <w:rPr>
          <w:rFonts w:ascii="Arial" w:hAnsi="Arial" w:cs="Arial"/>
          <w:sz w:val="22"/>
        </w:rPr>
        <w:t xml:space="preserve"> </w:t>
      </w:r>
    </w:p>
    <w:p w14:paraId="329C31F1" w14:textId="49558572" w:rsidR="006F2256" w:rsidRPr="006F2256" w:rsidRDefault="00C32567" w:rsidP="00AA7626">
      <w:pPr>
        <w:pStyle w:val="Odstavecseseznamem"/>
        <w:numPr>
          <w:ilvl w:val="0"/>
          <w:numId w:val="3"/>
        </w:numPr>
        <w:spacing w:before="360" w:after="120" w:line="240" w:lineRule="auto"/>
        <w:ind w:left="425" w:right="11" w:hanging="357"/>
        <w:contextualSpacing w:val="0"/>
        <w:outlineLvl w:val="0"/>
        <w:rPr>
          <w:rFonts w:ascii="Arial" w:hAnsi="Arial" w:cs="Arial"/>
          <w:sz w:val="22"/>
        </w:rPr>
      </w:pPr>
      <w:r w:rsidRPr="00D92ADD">
        <w:rPr>
          <w:rFonts w:ascii="Arial" w:hAnsi="Arial" w:cs="Arial"/>
          <w:sz w:val="22"/>
        </w:rPr>
        <w:t>Změna spočívá</w:t>
      </w:r>
      <w:r w:rsidR="003D1DF0" w:rsidRPr="00D92ADD">
        <w:rPr>
          <w:rFonts w:ascii="Arial" w:hAnsi="Arial" w:cs="Arial"/>
          <w:sz w:val="22"/>
        </w:rPr>
        <w:t xml:space="preserve"> </w:t>
      </w:r>
      <w:r w:rsidR="00753B12" w:rsidRPr="00D92ADD">
        <w:rPr>
          <w:rFonts w:ascii="Arial" w:hAnsi="Arial" w:cs="Arial"/>
          <w:sz w:val="22"/>
        </w:rPr>
        <w:t>konkrétně</w:t>
      </w:r>
      <w:r w:rsidR="003D1DF0" w:rsidRPr="00D92ADD">
        <w:rPr>
          <w:rFonts w:ascii="Arial" w:hAnsi="Arial" w:cs="Arial"/>
          <w:sz w:val="22"/>
        </w:rPr>
        <w:t xml:space="preserve"> </w:t>
      </w:r>
      <w:r w:rsidRPr="00D92ADD">
        <w:rPr>
          <w:rFonts w:ascii="Arial" w:hAnsi="Arial" w:cs="Arial"/>
          <w:sz w:val="22"/>
        </w:rPr>
        <w:t xml:space="preserve">v tom, že </w:t>
      </w:r>
      <w:r w:rsidR="005B61E3" w:rsidRPr="00D92ADD">
        <w:rPr>
          <w:rFonts w:ascii="Arial" w:hAnsi="Arial" w:cs="Arial"/>
          <w:sz w:val="22"/>
        </w:rPr>
        <w:t>v</w:t>
      </w:r>
      <w:r w:rsidR="00A83073" w:rsidRPr="00D92ADD">
        <w:rPr>
          <w:rFonts w:ascii="Arial" w:hAnsi="Arial" w:cs="Arial"/>
          <w:sz w:val="22"/>
        </w:rPr>
        <w:t xml:space="preserve"> Příloze č. 1 se </w:t>
      </w:r>
      <w:r w:rsidR="00D92ADD">
        <w:rPr>
          <w:rFonts w:ascii="Arial" w:hAnsi="Arial" w:cs="Arial"/>
          <w:sz w:val="22"/>
        </w:rPr>
        <w:t xml:space="preserve">v měsíci listopadu </w:t>
      </w:r>
      <w:r w:rsidR="00A83073" w:rsidRPr="00D92ADD">
        <w:rPr>
          <w:rFonts w:ascii="Arial" w:hAnsi="Arial" w:cs="Arial"/>
          <w:sz w:val="22"/>
        </w:rPr>
        <w:t>doplňuj</w:t>
      </w:r>
      <w:r w:rsidR="00D92ADD">
        <w:rPr>
          <w:rFonts w:ascii="Arial" w:hAnsi="Arial" w:cs="Arial"/>
          <w:sz w:val="22"/>
        </w:rPr>
        <w:t>e</w:t>
      </w:r>
      <w:r w:rsidR="00A83073" w:rsidRPr="00D92ADD">
        <w:rPr>
          <w:rFonts w:ascii="Arial" w:hAnsi="Arial" w:cs="Arial"/>
          <w:sz w:val="22"/>
        </w:rPr>
        <w:t xml:space="preserve"> </w:t>
      </w:r>
      <w:r w:rsidR="00D92ADD">
        <w:rPr>
          <w:rFonts w:ascii="Arial" w:hAnsi="Arial" w:cs="Arial"/>
          <w:sz w:val="22"/>
        </w:rPr>
        <w:t>konferen</w:t>
      </w:r>
      <w:r w:rsidR="00A83073" w:rsidRPr="00D92ADD">
        <w:rPr>
          <w:rFonts w:ascii="Arial" w:hAnsi="Arial" w:cs="Arial"/>
          <w:sz w:val="22"/>
        </w:rPr>
        <w:t xml:space="preserve">ce </w:t>
      </w:r>
      <w:r w:rsidR="00D92ADD" w:rsidRPr="00D92ADD">
        <w:rPr>
          <w:rFonts w:ascii="Arial" w:eastAsia="Times New Roman" w:hAnsi="Arial" w:cs="Arial"/>
          <w:b/>
          <w:bCs/>
          <w:color w:val="464646"/>
          <w:kern w:val="36"/>
          <w:sz w:val="22"/>
        </w:rPr>
        <w:t>SME Assembly 2022</w:t>
      </w:r>
      <w:r w:rsidR="006F2256">
        <w:rPr>
          <w:rFonts w:ascii="Arial" w:eastAsia="Times New Roman" w:hAnsi="Arial" w:cs="Arial"/>
          <w:b/>
          <w:bCs/>
          <w:color w:val="464646"/>
          <w:kern w:val="36"/>
          <w:sz w:val="22"/>
        </w:rPr>
        <w:t>.</w:t>
      </w:r>
    </w:p>
    <w:p w14:paraId="321DB85A" w14:textId="73AC96E1" w:rsidR="00904F60" w:rsidRPr="006F2256" w:rsidRDefault="006F2256" w:rsidP="006E25B1">
      <w:pPr>
        <w:pStyle w:val="Odstavecseseznamem"/>
        <w:numPr>
          <w:ilvl w:val="0"/>
          <w:numId w:val="3"/>
        </w:numPr>
        <w:spacing w:before="360" w:beforeAutospacing="1" w:after="120" w:afterAutospacing="1" w:line="240" w:lineRule="auto"/>
        <w:ind w:left="425" w:right="11" w:hanging="357"/>
        <w:contextualSpacing w:val="0"/>
        <w:outlineLvl w:val="0"/>
        <w:rPr>
          <w:rFonts w:ascii="Arial" w:hAnsi="Arial" w:cs="Arial"/>
          <w:sz w:val="22"/>
        </w:rPr>
      </w:pPr>
      <w:r w:rsidRPr="006F2256">
        <w:rPr>
          <w:rFonts w:ascii="Arial" w:hAnsi="Arial" w:cs="Arial"/>
          <w:sz w:val="22"/>
        </w:rPr>
        <w:t>D</w:t>
      </w:r>
      <w:r w:rsidR="00A83073" w:rsidRPr="006F2256">
        <w:rPr>
          <w:rFonts w:ascii="Arial" w:hAnsi="Arial" w:cs="Arial"/>
          <w:sz w:val="22"/>
        </w:rPr>
        <w:t xml:space="preserve">ále se v </w:t>
      </w:r>
      <w:r w:rsidR="00E74F65" w:rsidRPr="006F2256">
        <w:rPr>
          <w:rFonts w:ascii="Arial" w:hAnsi="Arial" w:cs="Arial"/>
          <w:sz w:val="22"/>
        </w:rPr>
        <w:t>přílo</w:t>
      </w:r>
      <w:r w:rsidR="005B61E3" w:rsidRPr="006F2256">
        <w:rPr>
          <w:rFonts w:ascii="Arial" w:hAnsi="Arial" w:cs="Arial"/>
          <w:sz w:val="22"/>
        </w:rPr>
        <w:t>ze</w:t>
      </w:r>
      <w:r w:rsidR="00E74F65" w:rsidRPr="006F2256">
        <w:rPr>
          <w:rFonts w:ascii="Arial" w:hAnsi="Arial" w:cs="Arial"/>
          <w:sz w:val="22"/>
        </w:rPr>
        <w:t xml:space="preserve"> č. </w:t>
      </w:r>
      <w:r w:rsidR="005B61E3" w:rsidRPr="006F2256">
        <w:rPr>
          <w:rFonts w:ascii="Arial" w:hAnsi="Arial" w:cs="Arial"/>
          <w:sz w:val="22"/>
        </w:rPr>
        <w:t>2</w:t>
      </w:r>
      <w:r w:rsidR="00E74F65" w:rsidRPr="006F2256">
        <w:rPr>
          <w:rFonts w:ascii="Arial" w:hAnsi="Arial" w:cs="Arial"/>
          <w:sz w:val="22"/>
        </w:rPr>
        <w:t xml:space="preserve"> Smlouvy</w:t>
      </w:r>
      <w:r w:rsidR="00D92ADD" w:rsidRPr="006F2256">
        <w:rPr>
          <w:rFonts w:ascii="Arial" w:hAnsi="Arial" w:cs="Arial"/>
          <w:sz w:val="22"/>
        </w:rPr>
        <w:t xml:space="preserve"> </w:t>
      </w:r>
      <w:r w:rsidR="005B61E3" w:rsidRPr="006F2256">
        <w:rPr>
          <w:rFonts w:ascii="Arial" w:hAnsi="Arial" w:cs="Arial"/>
          <w:sz w:val="22"/>
        </w:rPr>
        <w:t xml:space="preserve">v přehledu akcí v listopadu 2022 akce </w:t>
      </w:r>
      <w:r w:rsidRPr="006F2256">
        <w:rPr>
          <w:rFonts w:ascii="Arial" w:hAnsi="Arial" w:cs="Arial"/>
          <w:sz w:val="22"/>
        </w:rPr>
        <w:t xml:space="preserve">s názvem </w:t>
      </w:r>
      <w:r w:rsidR="005B61E3" w:rsidRPr="006F2256">
        <w:rPr>
          <w:rFonts w:ascii="Arial" w:hAnsi="Arial" w:cs="Arial"/>
          <w:sz w:val="22"/>
        </w:rPr>
        <w:t>„15.  – 16.</w:t>
      </w:r>
      <w:r w:rsidR="005B3939">
        <w:rPr>
          <w:rFonts w:ascii="Arial" w:hAnsi="Arial" w:cs="Arial"/>
          <w:sz w:val="22"/>
        </w:rPr>
        <w:t xml:space="preserve"> </w:t>
      </w:r>
      <w:r w:rsidR="005B61E3" w:rsidRPr="006F2256">
        <w:rPr>
          <w:rFonts w:ascii="Arial" w:hAnsi="Arial" w:cs="Arial"/>
          <w:sz w:val="22"/>
        </w:rPr>
        <w:t xml:space="preserve">11. Ministerská konference na téma e-justice“ </w:t>
      </w:r>
      <w:r w:rsidRPr="006F2256">
        <w:rPr>
          <w:rFonts w:ascii="Arial" w:hAnsi="Arial" w:cs="Arial"/>
          <w:sz w:val="22"/>
        </w:rPr>
        <w:t xml:space="preserve">nahrazuje </w:t>
      </w:r>
      <w:r w:rsidR="00A83073" w:rsidRPr="006F2256">
        <w:rPr>
          <w:rFonts w:ascii="Arial" w:hAnsi="Arial" w:cs="Arial"/>
          <w:sz w:val="22"/>
        </w:rPr>
        <w:t xml:space="preserve">konferencí </w:t>
      </w:r>
      <w:r w:rsidR="00A83073" w:rsidRPr="006F2256">
        <w:rPr>
          <w:rFonts w:ascii="Arial" w:eastAsia="Times New Roman" w:hAnsi="Arial" w:cs="Arial"/>
          <w:b/>
          <w:bCs/>
          <w:color w:val="464646"/>
          <w:kern w:val="36"/>
          <w:sz w:val="22"/>
        </w:rPr>
        <w:t>SME Assembly 2022</w:t>
      </w:r>
      <w:r w:rsidR="00A83073" w:rsidRPr="00AA7626">
        <w:rPr>
          <w:rFonts w:ascii="Arial" w:eastAsia="Times New Roman" w:hAnsi="Arial" w:cs="Arial"/>
          <w:color w:val="464646"/>
          <w:kern w:val="36"/>
          <w:sz w:val="22"/>
        </w:rPr>
        <w:t xml:space="preserve">, </w:t>
      </w:r>
      <w:r w:rsidR="00D92ADD" w:rsidRPr="00AA7626">
        <w:rPr>
          <w:rFonts w:ascii="Arial" w:eastAsia="Times New Roman" w:hAnsi="Arial" w:cs="Arial"/>
          <w:color w:val="464646"/>
          <w:kern w:val="36"/>
          <w:sz w:val="22"/>
        </w:rPr>
        <w:t>s</w:t>
      </w:r>
      <w:r w:rsidR="005B3939">
        <w:rPr>
          <w:rFonts w:ascii="Arial" w:eastAsia="Times New Roman" w:hAnsi="Arial" w:cs="Arial"/>
          <w:b/>
          <w:bCs/>
          <w:color w:val="464646"/>
          <w:kern w:val="36"/>
          <w:sz w:val="22"/>
        </w:rPr>
        <w:t> </w:t>
      </w:r>
      <w:r w:rsidR="00E74F65" w:rsidRPr="006F2256">
        <w:rPr>
          <w:rFonts w:ascii="Arial" w:hAnsi="Arial" w:cs="Arial"/>
          <w:sz w:val="22"/>
        </w:rPr>
        <w:t>termínem konání dne 2</w:t>
      </w:r>
      <w:r w:rsidR="005B61E3" w:rsidRPr="006F2256">
        <w:rPr>
          <w:rFonts w:ascii="Arial" w:hAnsi="Arial" w:cs="Arial"/>
          <w:sz w:val="22"/>
        </w:rPr>
        <w:t>9</w:t>
      </w:r>
      <w:r w:rsidR="00E74F65" w:rsidRPr="006F2256">
        <w:rPr>
          <w:rFonts w:ascii="Arial" w:hAnsi="Arial" w:cs="Arial"/>
          <w:sz w:val="22"/>
        </w:rPr>
        <w:t>.</w:t>
      </w:r>
      <w:r w:rsidR="005B3939">
        <w:rPr>
          <w:rFonts w:ascii="Arial" w:hAnsi="Arial" w:cs="Arial"/>
          <w:sz w:val="22"/>
        </w:rPr>
        <w:t xml:space="preserve"> </w:t>
      </w:r>
      <w:r w:rsidR="005B61E3" w:rsidRPr="006F2256">
        <w:rPr>
          <w:rFonts w:ascii="Arial" w:hAnsi="Arial" w:cs="Arial"/>
          <w:sz w:val="22"/>
        </w:rPr>
        <w:t>11</w:t>
      </w:r>
      <w:r w:rsidR="00E74F65" w:rsidRPr="006F2256">
        <w:rPr>
          <w:rFonts w:ascii="Arial" w:hAnsi="Arial" w:cs="Arial"/>
          <w:sz w:val="22"/>
        </w:rPr>
        <w:t>.</w:t>
      </w:r>
      <w:r w:rsidR="00D92ADD" w:rsidRPr="006F2256">
        <w:rPr>
          <w:rFonts w:ascii="Arial" w:hAnsi="Arial" w:cs="Arial"/>
          <w:sz w:val="22"/>
        </w:rPr>
        <w:t>- 30.</w:t>
      </w:r>
      <w:r w:rsidR="005B3939">
        <w:rPr>
          <w:rFonts w:ascii="Arial" w:hAnsi="Arial" w:cs="Arial"/>
          <w:sz w:val="22"/>
        </w:rPr>
        <w:t xml:space="preserve"> </w:t>
      </w:r>
      <w:r w:rsidR="00D92ADD" w:rsidRPr="006F2256">
        <w:rPr>
          <w:rFonts w:ascii="Arial" w:hAnsi="Arial" w:cs="Arial"/>
          <w:sz w:val="22"/>
        </w:rPr>
        <w:t>11.</w:t>
      </w:r>
      <w:r w:rsidR="005B3939">
        <w:rPr>
          <w:rFonts w:ascii="Arial" w:hAnsi="Arial" w:cs="Arial"/>
          <w:sz w:val="22"/>
        </w:rPr>
        <w:t xml:space="preserve"> </w:t>
      </w:r>
      <w:r w:rsidR="00E74F65" w:rsidRPr="006F2256">
        <w:rPr>
          <w:rFonts w:ascii="Arial" w:hAnsi="Arial" w:cs="Arial"/>
          <w:sz w:val="22"/>
        </w:rPr>
        <w:t>2022</w:t>
      </w:r>
      <w:r w:rsidR="00D92ADD" w:rsidRPr="006F2256">
        <w:rPr>
          <w:rFonts w:ascii="Arial" w:hAnsi="Arial" w:cs="Arial"/>
          <w:sz w:val="22"/>
        </w:rPr>
        <w:t>, místo konání: O2 Universum</w:t>
      </w:r>
      <w:r w:rsidR="00E74F65" w:rsidRPr="006F2256">
        <w:rPr>
          <w:rFonts w:ascii="Arial" w:hAnsi="Arial" w:cs="Arial"/>
          <w:sz w:val="22"/>
        </w:rPr>
        <w:t>.</w:t>
      </w:r>
    </w:p>
    <w:p w14:paraId="5ACB5603" w14:textId="1A018B0F" w:rsidR="0041465F" w:rsidRDefault="00E74F65" w:rsidP="00E74F65">
      <w:pPr>
        <w:pStyle w:val="Odstavecseseznamem"/>
        <w:numPr>
          <w:ilvl w:val="0"/>
          <w:numId w:val="3"/>
        </w:numPr>
        <w:spacing w:before="360" w:after="120"/>
        <w:ind w:left="425" w:right="11" w:hanging="35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74615C">
        <w:rPr>
          <w:rFonts w:ascii="Arial" w:hAnsi="Arial" w:cs="Arial"/>
          <w:sz w:val="22"/>
        </w:rPr>
        <w:t xml:space="preserve">ena za </w:t>
      </w:r>
      <w:r>
        <w:rPr>
          <w:rFonts w:ascii="Arial" w:hAnsi="Arial" w:cs="Arial"/>
          <w:sz w:val="22"/>
        </w:rPr>
        <w:t xml:space="preserve">poskytování služeb uvedená v článku IV. odst. 1 Smlouvy </w:t>
      </w:r>
      <w:r w:rsidRPr="00E74F65">
        <w:rPr>
          <w:rFonts w:ascii="Arial" w:hAnsi="Arial" w:cs="Arial"/>
          <w:b/>
          <w:sz w:val="22"/>
        </w:rPr>
        <w:t>se</w:t>
      </w:r>
      <w:r>
        <w:rPr>
          <w:rFonts w:ascii="Arial" w:hAnsi="Arial" w:cs="Arial"/>
          <w:sz w:val="22"/>
        </w:rPr>
        <w:t xml:space="preserve"> </w:t>
      </w:r>
      <w:r w:rsidRPr="00E74F65">
        <w:rPr>
          <w:rFonts w:ascii="Arial" w:hAnsi="Arial" w:cs="Arial"/>
          <w:b/>
          <w:sz w:val="22"/>
        </w:rPr>
        <w:t>nemění</w:t>
      </w:r>
      <w:r>
        <w:rPr>
          <w:rFonts w:ascii="Arial" w:hAnsi="Arial" w:cs="Arial"/>
          <w:sz w:val="22"/>
        </w:rPr>
        <w:t>.</w:t>
      </w:r>
    </w:p>
    <w:p w14:paraId="36FFE2DE" w14:textId="77777777" w:rsidR="00AD25D5" w:rsidRDefault="00AD25D5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</w:p>
    <w:p w14:paraId="3152166D" w14:textId="061CBAC4" w:rsidR="00F95304" w:rsidRPr="00AA20E6" w:rsidRDefault="00202470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AA20E6">
        <w:rPr>
          <w:rFonts w:ascii="Arial" w:hAnsi="Arial" w:cs="Arial"/>
          <w:b/>
          <w:sz w:val="22"/>
        </w:rPr>
        <w:t xml:space="preserve">Článek </w:t>
      </w:r>
      <w:r w:rsidR="00F2556F">
        <w:rPr>
          <w:rFonts w:ascii="Arial" w:hAnsi="Arial" w:cs="Arial"/>
          <w:b/>
          <w:sz w:val="22"/>
        </w:rPr>
        <w:t>I</w:t>
      </w:r>
      <w:r w:rsidRPr="00AA20E6">
        <w:rPr>
          <w:rFonts w:ascii="Arial" w:hAnsi="Arial" w:cs="Arial"/>
          <w:b/>
          <w:sz w:val="22"/>
        </w:rPr>
        <w:t>I.</w:t>
      </w:r>
    </w:p>
    <w:p w14:paraId="35331995" w14:textId="77777777" w:rsidR="00F95304" w:rsidRDefault="00202470">
      <w:pPr>
        <w:spacing w:after="72" w:line="259" w:lineRule="auto"/>
        <w:ind w:left="106" w:right="96" w:hanging="10"/>
        <w:jc w:val="center"/>
        <w:rPr>
          <w:rFonts w:ascii="Arial" w:hAnsi="Arial" w:cs="Arial"/>
          <w:b/>
          <w:sz w:val="22"/>
        </w:rPr>
      </w:pPr>
      <w:r w:rsidRPr="00AA20E6">
        <w:rPr>
          <w:rFonts w:ascii="Arial" w:hAnsi="Arial" w:cs="Arial"/>
          <w:b/>
          <w:sz w:val="22"/>
        </w:rPr>
        <w:t>Závěrečná ustanovení</w:t>
      </w:r>
    </w:p>
    <w:p w14:paraId="533B4CC9" w14:textId="4F9812DA" w:rsidR="00F95304" w:rsidRPr="005A54FA" w:rsidRDefault="00202470" w:rsidP="00763BB2">
      <w:pPr>
        <w:pStyle w:val="Odstavecseseznamem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 w:rsidRPr="005A54FA">
        <w:rPr>
          <w:rFonts w:ascii="Arial" w:hAnsi="Arial" w:cs="Arial"/>
          <w:sz w:val="22"/>
        </w:rPr>
        <w:t xml:space="preserve">Ostatní ujednání </w:t>
      </w:r>
      <w:r w:rsidR="007A6AE3">
        <w:rPr>
          <w:rFonts w:ascii="Arial" w:hAnsi="Arial" w:cs="Arial"/>
          <w:sz w:val="22"/>
        </w:rPr>
        <w:t xml:space="preserve">a ustanovení </w:t>
      </w:r>
      <w:r w:rsidR="00E815BE">
        <w:rPr>
          <w:rFonts w:ascii="Arial" w:hAnsi="Arial" w:cs="Arial"/>
          <w:sz w:val="22"/>
        </w:rPr>
        <w:t>S</w:t>
      </w:r>
      <w:r w:rsidRPr="005A54FA">
        <w:rPr>
          <w:rFonts w:ascii="Arial" w:hAnsi="Arial" w:cs="Arial"/>
          <w:sz w:val="22"/>
        </w:rPr>
        <w:t xml:space="preserve">mlouvy, nedotčená tímto </w:t>
      </w:r>
      <w:r w:rsidR="00E74F65">
        <w:rPr>
          <w:rFonts w:ascii="Arial" w:hAnsi="Arial" w:cs="Arial"/>
          <w:sz w:val="22"/>
        </w:rPr>
        <w:t>D</w:t>
      </w:r>
      <w:r w:rsidRPr="005A54FA">
        <w:rPr>
          <w:rFonts w:ascii="Arial" w:hAnsi="Arial" w:cs="Arial"/>
          <w:sz w:val="22"/>
        </w:rPr>
        <w:t>odatkem</w:t>
      </w:r>
      <w:r w:rsidR="00580F28">
        <w:rPr>
          <w:rFonts w:ascii="Arial" w:hAnsi="Arial" w:cs="Arial"/>
          <w:sz w:val="22"/>
        </w:rPr>
        <w:t xml:space="preserve"> č</w:t>
      </w:r>
      <w:r w:rsidR="00E74F65">
        <w:rPr>
          <w:rFonts w:ascii="Arial" w:hAnsi="Arial" w:cs="Arial"/>
          <w:sz w:val="22"/>
        </w:rPr>
        <w:t>.</w:t>
      </w:r>
      <w:r w:rsidR="00580F28">
        <w:rPr>
          <w:rFonts w:ascii="Arial" w:hAnsi="Arial" w:cs="Arial"/>
          <w:sz w:val="22"/>
        </w:rPr>
        <w:t xml:space="preserve"> </w:t>
      </w:r>
      <w:r w:rsidR="00D92ADD">
        <w:rPr>
          <w:rFonts w:ascii="Arial" w:hAnsi="Arial" w:cs="Arial"/>
          <w:sz w:val="22"/>
        </w:rPr>
        <w:t>2</w:t>
      </w:r>
      <w:r w:rsidRPr="005A54FA">
        <w:rPr>
          <w:rFonts w:ascii="Arial" w:hAnsi="Arial" w:cs="Arial"/>
          <w:sz w:val="22"/>
        </w:rPr>
        <w:t>, zůstávají beze změny.</w:t>
      </w:r>
      <w:r w:rsidR="007A6AE3">
        <w:rPr>
          <w:rFonts w:ascii="Arial" w:hAnsi="Arial" w:cs="Arial"/>
          <w:sz w:val="22"/>
        </w:rPr>
        <w:t xml:space="preserve"> </w:t>
      </w:r>
    </w:p>
    <w:p w14:paraId="2FE5865A" w14:textId="3F2527DB" w:rsidR="00371F34" w:rsidRPr="005A54FA" w:rsidRDefault="00202470" w:rsidP="00763BB2">
      <w:pPr>
        <w:pStyle w:val="Odstavecseseznamem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 w:rsidRPr="005A54FA">
        <w:rPr>
          <w:rFonts w:ascii="Arial" w:hAnsi="Arial" w:cs="Arial"/>
          <w:sz w:val="22"/>
        </w:rPr>
        <w:t xml:space="preserve">Tento </w:t>
      </w:r>
      <w:r w:rsidR="00E74F65">
        <w:rPr>
          <w:rFonts w:ascii="Arial" w:hAnsi="Arial" w:cs="Arial"/>
          <w:sz w:val="22"/>
        </w:rPr>
        <w:t>D</w:t>
      </w:r>
      <w:r w:rsidRPr="005A54FA">
        <w:rPr>
          <w:rFonts w:ascii="Arial" w:hAnsi="Arial" w:cs="Arial"/>
          <w:sz w:val="22"/>
        </w:rPr>
        <w:t xml:space="preserve">odatek </w:t>
      </w:r>
      <w:r w:rsidR="00580F28">
        <w:rPr>
          <w:rFonts w:ascii="Arial" w:hAnsi="Arial" w:cs="Arial"/>
          <w:sz w:val="22"/>
        </w:rPr>
        <w:t xml:space="preserve">č. </w:t>
      </w:r>
      <w:r w:rsidR="00ED7B87">
        <w:rPr>
          <w:rFonts w:ascii="Arial" w:hAnsi="Arial" w:cs="Arial"/>
          <w:sz w:val="22"/>
        </w:rPr>
        <w:t>2</w:t>
      </w:r>
      <w:r w:rsidR="0074615C">
        <w:rPr>
          <w:rFonts w:ascii="Arial" w:hAnsi="Arial" w:cs="Arial"/>
          <w:sz w:val="22"/>
        </w:rPr>
        <w:t xml:space="preserve"> </w:t>
      </w:r>
      <w:r w:rsidRPr="005A54FA">
        <w:rPr>
          <w:rFonts w:ascii="Arial" w:hAnsi="Arial" w:cs="Arial"/>
          <w:sz w:val="22"/>
        </w:rPr>
        <w:t>nabývá platnosti</w:t>
      </w:r>
      <w:r w:rsidR="00E74F65">
        <w:rPr>
          <w:rFonts w:ascii="Arial" w:hAnsi="Arial" w:cs="Arial"/>
          <w:sz w:val="22"/>
        </w:rPr>
        <w:t xml:space="preserve"> </w:t>
      </w:r>
      <w:r w:rsidRPr="005A54FA">
        <w:rPr>
          <w:rFonts w:ascii="Arial" w:hAnsi="Arial" w:cs="Arial"/>
          <w:sz w:val="22"/>
        </w:rPr>
        <w:t xml:space="preserve">dnem podpisu </w:t>
      </w:r>
      <w:r w:rsidR="00E74F65">
        <w:rPr>
          <w:rFonts w:ascii="Arial" w:hAnsi="Arial" w:cs="Arial"/>
          <w:sz w:val="22"/>
        </w:rPr>
        <w:t>oběma smluvními stranami</w:t>
      </w:r>
      <w:r w:rsidR="00CE02DD">
        <w:rPr>
          <w:rFonts w:ascii="Arial" w:hAnsi="Arial" w:cs="Arial"/>
          <w:sz w:val="22"/>
        </w:rPr>
        <w:t xml:space="preserve"> a účinnosti </w:t>
      </w:r>
      <w:r w:rsidR="00CE02DD" w:rsidRPr="00CE02DD">
        <w:rPr>
          <w:rFonts w:ascii="Arial" w:hAnsi="Arial" w:cs="Arial"/>
          <w:sz w:val="22"/>
        </w:rPr>
        <w:t>dnem jeho uveřejnění podle zákona č. 340/2015 Sb., o zvláštních podmínkách účinnosti některých smluv, uveřejňování těchto smluv a o registru smluv (zákon o registru smluv), ve</w:t>
      </w:r>
      <w:r w:rsidR="005B3939">
        <w:rPr>
          <w:rFonts w:ascii="Arial" w:hAnsi="Arial" w:cs="Arial"/>
          <w:sz w:val="22"/>
        </w:rPr>
        <w:t> </w:t>
      </w:r>
      <w:r w:rsidR="00CE02DD" w:rsidRPr="00CE02DD">
        <w:rPr>
          <w:rFonts w:ascii="Arial" w:hAnsi="Arial" w:cs="Arial"/>
          <w:sz w:val="22"/>
        </w:rPr>
        <w:t>znění pozdějších předpisů</w:t>
      </w:r>
      <w:r w:rsidR="00CE02DD">
        <w:rPr>
          <w:rFonts w:ascii="Arial" w:hAnsi="Arial" w:cs="Arial"/>
          <w:sz w:val="22"/>
        </w:rPr>
        <w:t>.</w:t>
      </w:r>
      <w:r w:rsidR="00D42449">
        <w:rPr>
          <w:rFonts w:ascii="Arial" w:hAnsi="Arial" w:cs="Arial"/>
          <w:sz w:val="22"/>
        </w:rPr>
        <w:t xml:space="preserve"> </w:t>
      </w:r>
      <w:r w:rsidR="00116DE1">
        <w:rPr>
          <w:rFonts w:ascii="Arial" w:hAnsi="Arial" w:cs="Arial"/>
          <w:sz w:val="22"/>
        </w:rPr>
        <w:t>Uveřejnění dodatku zajistí objednatel a o uveřejnění neprodleně informuje poskytovatele.</w:t>
      </w:r>
      <w:r w:rsidR="00BA6B8C">
        <w:rPr>
          <w:rFonts w:ascii="Arial" w:hAnsi="Arial" w:cs="Arial"/>
          <w:sz w:val="22"/>
        </w:rPr>
        <w:t xml:space="preserve"> </w:t>
      </w:r>
      <w:r w:rsidR="00CE02DD">
        <w:rPr>
          <w:rFonts w:ascii="Arial" w:hAnsi="Arial" w:cs="Arial"/>
          <w:sz w:val="22"/>
        </w:rPr>
        <w:t>S</w:t>
      </w:r>
      <w:r w:rsidR="0069791B">
        <w:rPr>
          <w:rFonts w:ascii="Arial" w:hAnsi="Arial" w:cs="Arial"/>
          <w:sz w:val="22"/>
        </w:rPr>
        <w:t xml:space="preserve">mluvní strany konstatují, že </w:t>
      </w:r>
      <w:r w:rsidR="00FC0073">
        <w:rPr>
          <w:rFonts w:ascii="Arial" w:hAnsi="Arial" w:cs="Arial"/>
          <w:sz w:val="22"/>
        </w:rPr>
        <w:t>v souladu s tímto</w:t>
      </w:r>
      <w:r w:rsidR="0069791B">
        <w:rPr>
          <w:rFonts w:ascii="Arial" w:hAnsi="Arial" w:cs="Arial"/>
          <w:sz w:val="22"/>
        </w:rPr>
        <w:t xml:space="preserve"> dodatk</w:t>
      </w:r>
      <w:r w:rsidR="00FC0073">
        <w:rPr>
          <w:rFonts w:ascii="Arial" w:hAnsi="Arial" w:cs="Arial"/>
          <w:sz w:val="22"/>
        </w:rPr>
        <w:t>em</w:t>
      </w:r>
      <w:r w:rsidR="0069791B">
        <w:rPr>
          <w:rFonts w:ascii="Arial" w:hAnsi="Arial" w:cs="Arial"/>
          <w:sz w:val="22"/>
        </w:rPr>
        <w:t xml:space="preserve"> postupují od 2</w:t>
      </w:r>
      <w:r w:rsidR="00ED7B87">
        <w:rPr>
          <w:rFonts w:ascii="Arial" w:hAnsi="Arial" w:cs="Arial"/>
          <w:sz w:val="22"/>
        </w:rPr>
        <w:t>9</w:t>
      </w:r>
      <w:r w:rsidR="0069791B">
        <w:rPr>
          <w:rFonts w:ascii="Arial" w:hAnsi="Arial" w:cs="Arial"/>
          <w:sz w:val="22"/>
        </w:rPr>
        <w:t>.</w:t>
      </w:r>
      <w:r w:rsidR="00A00FFE">
        <w:rPr>
          <w:rFonts w:ascii="Arial" w:hAnsi="Arial" w:cs="Arial"/>
          <w:sz w:val="22"/>
        </w:rPr>
        <w:t xml:space="preserve"> </w:t>
      </w:r>
      <w:r w:rsidR="00ED7B87">
        <w:rPr>
          <w:rFonts w:ascii="Arial" w:hAnsi="Arial" w:cs="Arial"/>
          <w:sz w:val="22"/>
        </w:rPr>
        <w:t>11</w:t>
      </w:r>
      <w:r w:rsidR="0069791B">
        <w:rPr>
          <w:rFonts w:ascii="Arial" w:hAnsi="Arial" w:cs="Arial"/>
          <w:sz w:val="22"/>
        </w:rPr>
        <w:t>.</w:t>
      </w:r>
      <w:r w:rsidR="00A00FFE">
        <w:rPr>
          <w:rFonts w:ascii="Arial" w:hAnsi="Arial" w:cs="Arial"/>
          <w:sz w:val="22"/>
        </w:rPr>
        <w:t xml:space="preserve"> </w:t>
      </w:r>
      <w:r w:rsidR="0069791B">
        <w:rPr>
          <w:rFonts w:ascii="Arial" w:hAnsi="Arial" w:cs="Arial"/>
          <w:sz w:val="22"/>
        </w:rPr>
        <w:t>2022</w:t>
      </w:r>
      <w:r w:rsidR="00E74F65">
        <w:rPr>
          <w:rFonts w:ascii="Arial" w:hAnsi="Arial" w:cs="Arial"/>
          <w:sz w:val="22"/>
        </w:rPr>
        <w:t>.</w:t>
      </w:r>
    </w:p>
    <w:p w14:paraId="1360037D" w14:textId="0149672C" w:rsidR="00371F34" w:rsidRPr="005A54FA" w:rsidRDefault="00202470" w:rsidP="00763BB2">
      <w:pPr>
        <w:pStyle w:val="Odstavecseseznamem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 w:rsidRPr="005A54FA">
        <w:rPr>
          <w:rFonts w:ascii="Arial" w:hAnsi="Arial" w:cs="Arial"/>
          <w:sz w:val="22"/>
        </w:rPr>
        <w:t xml:space="preserve">Tento </w:t>
      </w:r>
      <w:r w:rsidR="00E74F65">
        <w:rPr>
          <w:rFonts w:ascii="Arial" w:hAnsi="Arial" w:cs="Arial"/>
          <w:sz w:val="22"/>
        </w:rPr>
        <w:t>D</w:t>
      </w:r>
      <w:r w:rsidRPr="005A54FA">
        <w:rPr>
          <w:rFonts w:ascii="Arial" w:hAnsi="Arial" w:cs="Arial"/>
          <w:sz w:val="22"/>
        </w:rPr>
        <w:t xml:space="preserve">odatek </w:t>
      </w:r>
      <w:r w:rsidR="00580F28">
        <w:rPr>
          <w:rFonts w:ascii="Arial" w:hAnsi="Arial" w:cs="Arial"/>
          <w:sz w:val="22"/>
        </w:rPr>
        <w:t xml:space="preserve">č. </w:t>
      </w:r>
      <w:r w:rsidR="00ED7B87">
        <w:rPr>
          <w:rFonts w:ascii="Arial" w:hAnsi="Arial" w:cs="Arial"/>
          <w:sz w:val="22"/>
        </w:rPr>
        <w:t xml:space="preserve">2 </w:t>
      </w:r>
      <w:r w:rsidRPr="005A54FA">
        <w:rPr>
          <w:rFonts w:ascii="Arial" w:hAnsi="Arial" w:cs="Arial"/>
          <w:sz w:val="22"/>
        </w:rPr>
        <w:t>je sepsán ve 4 vyhotove</w:t>
      </w:r>
      <w:r w:rsidR="00DC1530" w:rsidRPr="005A54FA">
        <w:rPr>
          <w:rFonts w:ascii="Arial" w:hAnsi="Arial" w:cs="Arial"/>
          <w:sz w:val="22"/>
        </w:rPr>
        <w:t>ních, z nichž 1 obdrží poskytovatel</w:t>
      </w:r>
      <w:r w:rsidRPr="005A54FA">
        <w:rPr>
          <w:rFonts w:ascii="Arial" w:hAnsi="Arial" w:cs="Arial"/>
          <w:sz w:val="22"/>
        </w:rPr>
        <w:t xml:space="preserve"> a 3 obdrží objednatel.</w:t>
      </w:r>
      <w:r w:rsidR="00371F34" w:rsidRPr="005A54FA">
        <w:rPr>
          <w:rFonts w:ascii="Arial" w:hAnsi="Arial" w:cs="Arial"/>
          <w:sz w:val="22"/>
        </w:rPr>
        <w:t xml:space="preserve"> </w:t>
      </w:r>
    </w:p>
    <w:p w14:paraId="65728F40" w14:textId="5D4E2340" w:rsidR="00F95304" w:rsidRPr="005A54FA" w:rsidRDefault="00E74F65" w:rsidP="00826E89">
      <w:pPr>
        <w:pStyle w:val="Odstavecseseznamem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202470" w:rsidRPr="005A54FA">
        <w:rPr>
          <w:rFonts w:ascii="Arial" w:hAnsi="Arial" w:cs="Arial"/>
          <w:sz w:val="22"/>
        </w:rPr>
        <w:t>mluvní</w:t>
      </w:r>
      <w:r>
        <w:rPr>
          <w:rFonts w:ascii="Arial" w:hAnsi="Arial" w:cs="Arial"/>
          <w:sz w:val="22"/>
        </w:rPr>
        <w:t xml:space="preserve"> </w:t>
      </w:r>
      <w:r w:rsidR="00202470" w:rsidRPr="005A54FA">
        <w:rPr>
          <w:rFonts w:ascii="Arial" w:hAnsi="Arial" w:cs="Arial"/>
          <w:sz w:val="22"/>
        </w:rPr>
        <w:t>stran</w:t>
      </w:r>
      <w:r>
        <w:rPr>
          <w:rFonts w:ascii="Arial" w:hAnsi="Arial" w:cs="Arial"/>
          <w:sz w:val="22"/>
        </w:rPr>
        <w:t>y</w:t>
      </w:r>
      <w:r w:rsidR="00202470" w:rsidRPr="005A54FA">
        <w:rPr>
          <w:rFonts w:ascii="Arial" w:hAnsi="Arial" w:cs="Arial"/>
          <w:sz w:val="22"/>
        </w:rPr>
        <w:t xml:space="preserve"> prohlašují, že tento </w:t>
      </w:r>
      <w:r>
        <w:rPr>
          <w:rFonts w:ascii="Arial" w:hAnsi="Arial" w:cs="Arial"/>
          <w:sz w:val="22"/>
        </w:rPr>
        <w:t>D</w:t>
      </w:r>
      <w:r w:rsidR="00202470" w:rsidRPr="005A54FA">
        <w:rPr>
          <w:rFonts w:ascii="Arial" w:hAnsi="Arial" w:cs="Arial"/>
          <w:sz w:val="22"/>
        </w:rPr>
        <w:t xml:space="preserve">odatek </w:t>
      </w:r>
      <w:r w:rsidR="00580F28">
        <w:rPr>
          <w:rFonts w:ascii="Arial" w:hAnsi="Arial" w:cs="Arial"/>
          <w:sz w:val="22"/>
        </w:rPr>
        <w:t xml:space="preserve">č. </w:t>
      </w:r>
      <w:r w:rsidR="00ED7B87">
        <w:rPr>
          <w:rFonts w:ascii="Arial" w:hAnsi="Arial" w:cs="Arial"/>
          <w:sz w:val="22"/>
        </w:rPr>
        <w:t>2</w:t>
      </w:r>
      <w:r w:rsidR="0074615C">
        <w:rPr>
          <w:rFonts w:ascii="Arial" w:hAnsi="Arial" w:cs="Arial"/>
          <w:sz w:val="22"/>
        </w:rPr>
        <w:t xml:space="preserve"> </w:t>
      </w:r>
      <w:r w:rsidR="00202470" w:rsidRPr="005A54FA">
        <w:rPr>
          <w:rFonts w:ascii="Arial" w:hAnsi="Arial" w:cs="Arial"/>
          <w:sz w:val="22"/>
        </w:rPr>
        <w:t>odpovídá jejich svobodné a vážné vůli a</w:t>
      </w:r>
      <w:r w:rsidR="00F2556F">
        <w:rPr>
          <w:rFonts w:ascii="Arial" w:hAnsi="Arial" w:cs="Arial"/>
          <w:sz w:val="22"/>
        </w:rPr>
        <w:t> </w:t>
      </w:r>
      <w:r w:rsidR="00202470" w:rsidRPr="005A54FA">
        <w:rPr>
          <w:rFonts w:ascii="Arial" w:hAnsi="Arial" w:cs="Arial"/>
          <w:sz w:val="22"/>
        </w:rPr>
        <w:t>nebyl uzavřen v tísni nebo za nápadně nevýhodných podmínek, což stvrzují svými</w:t>
      </w:r>
      <w:r w:rsidR="0086634B" w:rsidRPr="005A54FA">
        <w:rPr>
          <w:rFonts w:ascii="Arial" w:hAnsi="Arial" w:cs="Arial"/>
          <w:sz w:val="22"/>
        </w:rPr>
        <w:t xml:space="preserve"> vlastnoručními podpisy</w:t>
      </w:r>
      <w:r w:rsidR="002261B7" w:rsidRPr="005A54FA">
        <w:rPr>
          <w:rFonts w:ascii="Arial" w:hAnsi="Arial" w:cs="Arial"/>
          <w:sz w:val="22"/>
        </w:rPr>
        <w:t>.</w:t>
      </w:r>
    </w:p>
    <w:p w14:paraId="76EE76F8" w14:textId="77777777" w:rsidR="0006703E" w:rsidRDefault="0006703E" w:rsidP="002261B7">
      <w:pPr>
        <w:spacing w:after="120"/>
        <w:ind w:right="11"/>
        <w:rPr>
          <w:rFonts w:ascii="Arial" w:hAnsi="Arial" w:cs="Arial"/>
          <w:sz w:val="22"/>
        </w:rPr>
      </w:pPr>
    </w:p>
    <w:p w14:paraId="3920DAE3" w14:textId="77777777" w:rsidR="002261B7" w:rsidRDefault="002261B7" w:rsidP="002261B7">
      <w:pPr>
        <w:spacing w:after="120"/>
        <w:ind w:right="11"/>
        <w:rPr>
          <w:rFonts w:ascii="Arial" w:hAnsi="Arial" w:cs="Arial"/>
          <w:sz w:val="22"/>
        </w:rPr>
      </w:pPr>
    </w:p>
    <w:p w14:paraId="3C7A1B3E" w14:textId="70B4BBC9" w:rsidR="002261B7" w:rsidRDefault="002261B7" w:rsidP="002261B7">
      <w:pPr>
        <w:spacing w:after="120"/>
        <w:ind w:right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Praze dne </w:t>
      </w:r>
      <w:r w:rsidR="00D350A7">
        <w:rPr>
          <w:rFonts w:ascii="Arial" w:hAnsi="Arial" w:cs="Arial"/>
          <w:sz w:val="22"/>
        </w:rPr>
        <w:t>28. 11.</w:t>
      </w:r>
      <w:r w:rsidR="0069791B">
        <w:rPr>
          <w:rFonts w:ascii="Arial" w:hAnsi="Arial" w:cs="Arial"/>
          <w:sz w:val="22"/>
        </w:rPr>
        <w:t xml:space="preserve"> </w:t>
      </w:r>
      <w:r w:rsidR="00A65FD0">
        <w:rPr>
          <w:rFonts w:ascii="Arial" w:hAnsi="Arial" w:cs="Arial"/>
          <w:sz w:val="22"/>
        </w:rPr>
        <w:t>2022</w:t>
      </w:r>
      <w:r>
        <w:rPr>
          <w:rFonts w:ascii="Arial" w:hAnsi="Arial" w:cs="Arial"/>
          <w:sz w:val="22"/>
        </w:rPr>
        <w:t xml:space="preserve">                                  </w:t>
      </w:r>
      <w:r w:rsidR="00A65FD0">
        <w:rPr>
          <w:rFonts w:ascii="Arial" w:hAnsi="Arial" w:cs="Arial"/>
          <w:sz w:val="22"/>
        </w:rPr>
        <w:t xml:space="preserve">                </w:t>
      </w:r>
      <w:r>
        <w:rPr>
          <w:rFonts w:ascii="Arial" w:hAnsi="Arial" w:cs="Arial"/>
          <w:sz w:val="22"/>
        </w:rPr>
        <w:t xml:space="preserve">   V Praze dne </w:t>
      </w:r>
      <w:r w:rsidR="00580F28">
        <w:rPr>
          <w:rFonts w:ascii="Arial" w:hAnsi="Arial" w:cs="Arial"/>
          <w:sz w:val="22"/>
        </w:rPr>
        <w:t xml:space="preserve"> </w:t>
      </w:r>
      <w:r w:rsidR="00D350A7">
        <w:rPr>
          <w:rFonts w:ascii="Arial" w:hAnsi="Arial" w:cs="Arial"/>
          <w:sz w:val="22"/>
        </w:rPr>
        <w:t xml:space="preserve">28. 11. </w:t>
      </w:r>
      <w:r w:rsidR="00A65FD0">
        <w:rPr>
          <w:rFonts w:ascii="Arial" w:hAnsi="Arial" w:cs="Arial"/>
          <w:sz w:val="22"/>
        </w:rPr>
        <w:t>2022</w:t>
      </w:r>
    </w:p>
    <w:p w14:paraId="3373FF21" w14:textId="77777777" w:rsidR="002261B7" w:rsidRDefault="002261B7" w:rsidP="002261B7">
      <w:pPr>
        <w:spacing w:after="120"/>
        <w:ind w:right="11"/>
        <w:rPr>
          <w:rFonts w:ascii="Arial" w:hAnsi="Arial" w:cs="Arial"/>
          <w:sz w:val="22"/>
        </w:rPr>
      </w:pPr>
    </w:p>
    <w:p w14:paraId="36608403" w14:textId="31866B75" w:rsidR="00763BB2" w:rsidRPr="00E925FC" w:rsidRDefault="00763BB2" w:rsidP="00763BB2">
      <w:pPr>
        <w:tabs>
          <w:tab w:val="left" w:pos="0"/>
        </w:tabs>
        <w:spacing w:after="360"/>
        <w:rPr>
          <w:rFonts w:ascii="Arial" w:eastAsiaTheme="minorHAnsi" w:hAnsi="Arial" w:cs="Arial"/>
          <w:sz w:val="22"/>
        </w:rPr>
      </w:pPr>
      <w:r w:rsidRPr="00E925FC">
        <w:rPr>
          <w:rFonts w:ascii="Arial" w:eastAsiaTheme="minorHAnsi" w:hAnsi="Arial" w:cs="Arial"/>
          <w:sz w:val="22"/>
        </w:rPr>
        <w:t xml:space="preserve">za </w:t>
      </w:r>
      <w:r w:rsidR="00E74F65">
        <w:rPr>
          <w:rFonts w:ascii="Arial" w:eastAsiaTheme="minorHAnsi" w:hAnsi="Arial" w:cs="Arial"/>
          <w:sz w:val="22"/>
        </w:rPr>
        <w:t>poskytovatele</w:t>
      </w:r>
      <w:r>
        <w:rPr>
          <w:rFonts w:ascii="Arial" w:eastAsiaTheme="minorHAnsi" w:hAnsi="Arial" w:cs="Arial"/>
          <w:sz w:val="22"/>
        </w:rPr>
        <w:tab/>
      </w:r>
      <w:r>
        <w:rPr>
          <w:rFonts w:ascii="Arial" w:eastAsiaTheme="minorHAnsi" w:hAnsi="Arial" w:cs="Arial"/>
          <w:sz w:val="22"/>
        </w:rPr>
        <w:tab/>
      </w:r>
      <w:r>
        <w:rPr>
          <w:rFonts w:ascii="Arial" w:eastAsiaTheme="minorHAnsi" w:hAnsi="Arial" w:cs="Arial"/>
          <w:sz w:val="22"/>
        </w:rPr>
        <w:tab/>
      </w:r>
      <w:r>
        <w:rPr>
          <w:rFonts w:ascii="Arial" w:eastAsiaTheme="minorHAnsi" w:hAnsi="Arial" w:cs="Arial"/>
          <w:sz w:val="22"/>
        </w:rPr>
        <w:tab/>
      </w:r>
      <w:r>
        <w:rPr>
          <w:rFonts w:ascii="Arial" w:eastAsiaTheme="minorHAnsi" w:hAnsi="Arial" w:cs="Arial"/>
          <w:sz w:val="22"/>
        </w:rPr>
        <w:tab/>
      </w:r>
      <w:r>
        <w:rPr>
          <w:rFonts w:ascii="Arial" w:eastAsiaTheme="minorHAnsi" w:hAnsi="Arial" w:cs="Arial"/>
          <w:sz w:val="22"/>
        </w:rPr>
        <w:tab/>
      </w:r>
      <w:r w:rsidRPr="00E925FC">
        <w:rPr>
          <w:rFonts w:ascii="Arial" w:eastAsiaTheme="minorHAnsi" w:hAnsi="Arial" w:cs="Arial"/>
          <w:sz w:val="22"/>
        </w:rPr>
        <w:t>za objednatele</w:t>
      </w:r>
    </w:p>
    <w:p w14:paraId="040F5428" w14:textId="77777777" w:rsidR="002261B7" w:rsidRDefault="002261B7" w:rsidP="002261B7">
      <w:pPr>
        <w:spacing w:after="120"/>
        <w:ind w:right="11"/>
        <w:rPr>
          <w:rFonts w:ascii="Arial" w:hAnsi="Arial" w:cs="Arial"/>
          <w:sz w:val="22"/>
        </w:rPr>
      </w:pPr>
    </w:p>
    <w:p w14:paraId="5B1C3ABA" w14:textId="632BA8F1" w:rsidR="002261B7" w:rsidRPr="0074615C" w:rsidRDefault="00E74F65" w:rsidP="00DC1530">
      <w:pPr>
        <w:spacing w:after="120"/>
        <w:ind w:left="0" w:right="11" w:firstLine="0"/>
        <w:rPr>
          <w:rFonts w:ascii="Arial" w:hAnsi="Arial" w:cs="Arial"/>
          <w:color w:val="auto"/>
          <w:sz w:val="22"/>
        </w:rPr>
      </w:pPr>
      <w:r w:rsidRPr="00E74F65">
        <w:rPr>
          <w:rFonts w:ascii="Arial" w:hAnsi="Arial" w:cs="Arial"/>
          <w:b/>
          <w:color w:val="auto"/>
          <w:sz w:val="22"/>
        </w:rPr>
        <w:t>Petr Dvořák</w:t>
      </w:r>
      <w:r w:rsidR="00DC1530" w:rsidRPr="0074615C">
        <w:rPr>
          <w:rFonts w:ascii="Arial" w:hAnsi="Arial" w:cs="Arial"/>
          <w:color w:val="auto"/>
          <w:sz w:val="22"/>
        </w:rPr>
        <w:t xml:space="preserve"> </w:t>
      </w:r>
      <w:r w:rsidR="002261B7" w:rsidRPr="0074615C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ab/>
      </w:r>
      <w:r w:rsidR="002261B7" w:rsidRPr="0074615C">
        <w:rPr>
          <w:rFonts w:ascii="Arial" w:hAnsi="Arial" w:cs="Arial"/>
          <w:color w:val="auto"/>
          <w:sz w:val="22"/>
        </w:rPr>
        <w:t xml:space="preserve">          </w:t>
      </w:r>
      <w:r w:rsidR="00DC1530" w:rsidRPr="0074615C">
        <w:rPr>
          <w:rFonts w:ascii="Arial" w:hAnsi="Arial" w:cs="Arial"/>
          <w:color w:val="auto"/>
          <w:sz w:val="22"/>
        </w:rPr>
        <w:t xml:space="preserve">                                                  </w:t>
      </w:r>
      <w:r w:rsidR="00763BB2">
        <w:rPr>
          <w:rFonts w:ascii="Arial" w:hAnsi="Arial" w:cs="Arial"/>
          <w:color w:val="auto"/>
          <w:sz w:val="22"/>
        </w:rPr>
        <w:tab/>
      </w:r>
      <w:r w:rsidR="00DC1530" w:rsidRPr="00E74F65">
        <w:rPr>
          <w:rFonts w:ascii="Arial" w:hAnsi="Arial" w:cs="Arial"/>
          <w:b/>
          <w:color w:val="auto"/>
          <w:sz w:val="22"/>
        </w:rPr>
        <w:t>Alice Krutilová, M.A.</w:t>
      </w:r>
    </w:p>
    <w:p w14:paraId="6505D440" w14:textId="42E8564D" w:rsidR="00DC1530" w:rsidRPr="0074615C" w:rsidRDefault="00E74F65" w:rsidP="002261B7">
      <w:pPr>
        <w:spacing w:after="120"/>
        <w:ind w:right="11"/>
        <w:rPr>
          <w:rFonts w:ascii="Arial" w:eastAsia="Times New Roman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generální ředitel</w:t>
      </w:r>
      <w:r w:rsidR="002261B7" w:rsidRPr="0074615C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ab/>
      </w:r>
      <w:r w:rsidR="002261B7" w:rsidRPr="0074615C">
        <w:rPr>
          <w:rFonts w:ascii="Arial" w:hAnsi="Arial" w:cs="Arial"/>
          <w:color w:val="auto"/>
          <w:sz w:val="22"/>
        </w:rPr>
        <w:t xml:space="preserve">                         </w:t>
      </w:r>
      <w:r w:rsidR="00DC1530" w:rsidRPr="0074615C">
        <w:rPr>
          <w:rFonts w:ascii="Arial" w:hAnsi="Arial" w:cs="Arial"/>
          <w:color w:val="auto"/>
          <w:sz w:val="22"/>
        </w:rPr>
        <w:t xml:space="preserve">                            </w:t>
      </w:r>
      <w:r w:rsidR="00763BB2">
        <w:rPr>
          <w:rFonts w:ascii="Arial" w:hAnsi="Arial" w:cs="Arial"/>
          <w:color w:val="auto"/>
          <w:sz w:val="22"/>
        </w:rPr>
        <w:tab/>
      </w:r>
      <w:r w:rsidR="00C61538" w:rsidRPr="0074615C">
        <w:rPr>
          <w:rFonts w:ascii="Arial" w:hAnsi="Arial" w:cs="Arial"/>
          <w:color w:val="auto"/>
          <w:sz w:val="22"/>
        </w:rPr>
        <w:t xml:space="preserve">ředitelka Odboru </w:t>
      </w:r>
      <w:r w:rsidR="00DC1530" w:rsidRPr="0074615C">
        <w:rPr>
          <w:rFonts w:ascii="Arial" w:eastAsia="Times New Roman" w:hAnsi="Arial" w:cs="Arial"/>
          <w:color w:val="auto"/>
          <w:sz w:val="22"/>
        </w:rPr>
        <w:t>pro předsednictví</w:t>
      </w:r>
    </w:p>
    <w:p w14:paraId="2BAC7D8F" w14:textId="705EA20C" w:rsidR="002261B7" w:rsidRPr="0074615C" w:rsidRDefault="00A00FFE" w:rsidP="002261B7">
      <w:pPr>
        <w:spacing w:after="120"/>
        <w:ind w:right="11"/>
        <w:rPr>
          <w:rFonts w:ascii="Arial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Č</w:t>
      </w:r>
      <w:r w:rsidR="00ED7B87">
        <w:rPr>
          <w:rFonts w:ascii="Arial" w:eastAsia="Times New Roman" w:hAnsi="Arial" w:cs="Arial"/>
          <w:color w:val="auto"/>
          <w:sz w:val="22"/>
        </w:rPr>
        <w:t>eská televize</w:t>
      </w:r>
      <w:r w:rsidR="00DC1530" w:rsidRPr="0074615C">
        <w:rPr>
          <w:rFonts w:ascii="Arial" w:eastAsia="Times New Roman" w:hAnsi="Arial" w:cs="Arial"/>
          <w:color w:val="auto"/>
          <w:sz w:val="22"/>
        </w:rPr>
        <w:t xml:space="preserve">                                       </w:t>
      </w:r>
      <w:r>
        <w:rPr>
          <w:rFonts w:ascii="Arial" w:eastAsia="Times New Roman" w:hAnsi="Arial" w:cs="Arial"/>
          <w:color w:val="auto"/>
          <w:sz w:val="22"/>
        </w:rPr>
        <w:t xml:space="preserve">                              Č</w:t>
      </w:r>
      <w:r w:rsidR="00DC1530" w:rsidRPr="0074615C">
        <w:rPr>
          <w:rFonts w:ascii="Arial" w:eastAsia="Times New Roman" w:hAnsi="Arial" w:cs="Arial"/>
          <w:color w:val="auto"/>
          <w:sz w:val="22"/>
        </w:rPr>
        <w:t>R v Radě EU</w:t>
      </w:r>
    </w:p>
    <w:sectPr w:rsidR="002261B7" w:rsidRPr="0074615C" w:rsidSect="00E74F65">
      <w:pgSz w:w="11900" w:h="16840"/>
      <w:pgMar w:top="709" w:right="1094" w:bottom="1214" w:left="109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AFD1F" w14:textId="77777777" w:rsidR="00F26786" w:rsidRDefault="00F26786">
      <w:pPr>
        <w:spacing w:after="0" w:line="240" w:lineRule="auto"/>
      </w:pPr>
      <w:r>
        <w:separator/>
      </w:r>
    </w:p>
  </w:endnote>
  <w:endnote w:type="continuationSeparator" w:id="0">
    <w:p w14:paraId="7FDDF346" w14:textId="77777777" w:rsidR="00F26786" w:rsidRDefault="00F2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38443" w14:textId="77777777" w:rsidR="00F26786" w:rsidRDefault="00F26786">
      <w:pPr>
        <w:spacing w:after="0" w:line="240" w:lineRule="auto"/>
      </w:pPr>
      <w:r>
        <w:separator/>
      </w:r>
    </w:p>
  </w:footnote>
  <w:footnote w:type="continuationSeparator" w:id="0">
    <w:p w14:paraId="43CA2D59" w14:textId="77777777" w:rsidR="00F26786" w:rsidRDefault="00F2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747ADB"/>
    <w:multiLevelType w:val="hybridMultilevel"/>
    <w:tmpl w:val="6F685A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C5694"/>
    <w:multiLevelType w:val="hybridMultilevel"/>
    <w:tmpl w:val="993AF41C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FC4E29"/>
    <w:multiLevelType w:val="hybridMultilevel"/>
    <w:tmpl w:val="A01A910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30FD23A0"/>
    <w:multiLevelType w:val="hybridMultilevel"/>
    <w:tmpl w:val="B6648F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74689"/>
    <w:multiLevelType w:val="hybridMultilevel"/>
    <w:tmpl w:val="869212C4"/>
    <w:lvl w:ilvl="0" w:tplc="445E333C">
      <w:start w:val="3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A6B3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720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8228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C840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8E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8E4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BEE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61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47115F"/>
    <w:multiLevelType w:val="hybridMultilevel"/>
    <w:tmpl w:val="3AAE7B12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39873DE4"/>
    <w:multiLevelType w:val="hybridMultilevel"/>
    <w:tmpl w:val="0FF8EF2C"/>
    <w:lvl w:ilvl="0" w:tplc="F818363E">
      <w:start w:val="2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80D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2FF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8DB6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9AB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E7F2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249B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A892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062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F744C7"/>
    <w:multiLevelType w:val="hybridMultilevel"/>
    <w:tmpl w:val="96301E44"/>
    <w:lvl w:ilvl="0" w:tplc="0405000F">
      <w:start w:val="1"/>
      <w:numFmt w:val="decimal"/>
      <w:lvlText w:val="%1."/>
      <w:lvlJc w:val="left"/>
      <w:pPr>
        <w:ind w:left="734" w:hanging="360"/>
      </w:p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 w15:restartNumberingAfterBreak="0">
    <w:nsid w:val="4FD14FEE"/>
    <w:multiLevelType w:val="hybridMultilevel"/>
    <w:tmpl w:val="A66AAA90"/>
    <w:lvl w:ilvl="0" w:tplc="D79647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D4E61"/>
    <w:multiLevelType w:val="hybridMultilevel"/>
    <w:tmpl w:val="D0DAD9C2"/>
    <w:lvl w:ilvl="0" w:tplc="0405000F">
      <w:start w:val="1"/>
      <w:numFmt w:val="decimal"/>
      <w:lvlText w:val="%1."/>
      <w:lvlJc w:val="left"/>
      <w:pPr>
        <w:ind w:left="816" w:hanging="360"/>
      </w:p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1" w15:restartNumberingAfterBreak="0">
    <w:nsid w:val="68073271"/>
    <w:multiLevelType w:val="hybridMultilevel"/>
    <w:tmpl w:val="B3C2CB96"/>
    <w:lvl w:ilvl="0" w:tplc="BB1250A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6C930141"/>
    <w:multiLevelType w:val="hybridMultilevel"/>
    <w:tmpl w:val="AEB2620E"/>
    <w:lvl w:ilvl="0" w:tplc="0405000F">
      <w:start w:val="1"/>
      <w:numFmt w:val="decimal"/>
      <w:lvlText w:val="%1."/>
      <w:lvlJc w:val="left"/>
      <w:pPr>
        <w:ind w:left="816" w:hanging="360"/>
      </w:p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3" w15:restartNumberingAfterBreak="0">
    <w:nsid w:val="796C6C62"/>
    <w:multiLevelType w:val="hybridMultilevel"/>
    <w:tmpl w:val="C1FED32C"/>
    <w:lvl w:ilvl="0" w:tplc="0624ED64">
      <w:start w:val="4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13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04"/>
    <w:rsid w:val="00000F1E"/>
    <w:rsid w:val="000134C8"/>
    <w:rsid w:val="000262D6"/>
    <w:rsid w:val="00026A41"/>
    <w:rsid w:val="00044F5C"/>
    <w:rsid w:val="0006703E"/>
    <w:rsid w:val="00073F99"/>
    <w:rsid w:val="000D09EE"/>
    <w:rsid w:val="000E7D6B"/>
    <w:rsid w:val="000F049B"/>
    <w:rsid w:val="00116DE1"/>
    <w:rsid w:val="00140088"/>
    <w:rsid w:val="00152BCA"/>
    <w:rsid w:val="00164433"/>
    <w:rsid w:val="001701F8"/>
    <w:rsid w:val="001767DD"/>
    <w:rsid w:val="001834C1"/>
    <w:rsid w:val="001A06E1"/>
    <w:rsid w:val="001A36B2"/>
    <w:rsid w:val="001A6A34"/>
    <w:rsid w:val="001C6839"/>
    <w:rsid w:val="001D5DB6"/>
    <w:rsid w:val="001F5E14"/>
    <w:rsid w:val="00202470"/>
    <w:rsid w:val="00203156"/>
    <w:rsid w:val="00221699"/>
    <w:rsid w:val="002261B7"/>
    <w:rsid w:val="00227816"/>
    <w:rsid w:val="00231702"/>
    <w:rsid w:val="002826DC"/>
    <w:rsid w:val="002E15BB"/>
    <w:rsid w:val="00306909"/>
    <w:rsid w:val="00310AE9"/>
    <w:rsid w:val="003119E1"/>
    <w:rsid w:val="003162FB"/>
    <w:rsid w:val="003416FB"/>
    <w:rsid w:val="00361459"/>
    <w:rsid w:val="00366EA8"/>
    <w:rsid w:val="00371F34"/>
    <w:rsid w:val="00380078"/>
    <w:rsid w:val="00384F5B"/>
    <w:rsid w:val="003941F1"/>
    <w:rsid w:val="00395163"/>
    <w:rsid w:val="003952C7"/>
    <w:rsid w:val="003B6922"/>
    <w:rsid w:val="003D1DF0"/>
    <w:rsid w:val="003E4923"/>
    <w:rsid w:val="003F00ED"/>
    <w:rsid w:val="00402ECA"/>
    <w:rsid w:val="0040383A"/>
    <w:rsid w:val="00413419"/>
    <w:rsid w:val="0041465F"/>
    <w:rsid w:val="00416A89"/>
    <w:rsid w:val="0042184D"/>
    <w:rsid w:val="00424755"/>
    <w:rsid w:val="004256EA"/>
    <w:rsid w:val="0044304A"/>
    <w:rsid w:val="00475EC8"/>
    <w:rsid w:val="00494816"/>
    <w:rsid w:val="004E5BC4"/>
    <w:rsid w:val="004F6C7D"/>
    <w:rsid w:val="005013C0"/>
    <w:rsid w:val="00502F1D"/>
    <w:rsid w:val="00504E5C"/>
    <w:rsid w:val="00510088"/>
    <w:rsid w:val="00524B32"/>
    <w:rsid w:val="00530BBF"/>
    <w:rsid w:val="005347FD"/>
    <w:rsid w:val="00554F7C"/>
    <w:rsid w:val="00570251"/>
    <w:rsid w:val="00580F28"/>
    <w:rsid w:val="005A54FA"/>
    <w:rsid w:val="005B3939"/>
    <w:rsid w:val="005B61E3"/>
    <w:rsid w:val="005B7183"/>
    <w:rsid w:val="005E507B"/>
    <w:rsid w:val="006545F2"/>
    <w:rsid w:val="00672073"/>
    <w:rsid w:val="006754EB"/>
    <w:rsid w:val="00681390"/>
    <w:rsid w:val="00687DEA"/>
    <w:rsid w:val="0069791B"/>
    <w:rsid w:val="006A0A21"/>
    <w:rsid w:val="006A74FF"/>
    <w:rsid w:val="006D1214"/>
    <w:rsid w:val="006E2E9D"/>
    <w:rsid w:val="006F2256"/>
    <w:rsid w:val="006F7EC1"/>
    <w:rsid w:val="00705DEA"/>
    <w:rsid w:val="007322F8"/>
    <w:rsid w:val="00736112"/>
    <w:rsid w:val="0074615C"/>
    <w:rsid w:val="00753B12"/>
    <w:rsid w:val="00762438"/>
    <w:rsid w:val="007629A6"/>
    <w:rsid w:val="00763BB2"/>
    <w:rsid w:val="0077737E"/>
    <w:rsid w:val="007868DF"/>
    <w:rsid w:val="00786D0E"/>
    <w:rsid w:val="007A3829"/>
    <w:rsid w:val="007A6AE3"/>
    <w:rsid w:val="007B3807"/>
    <w:rsid w:val="007B3D6D"/>
    <w:rsid w:val="007D31CE"/>
    <w:rsid w:val="007D7F8A"/>
    <w:rsid w:val="007E53B7"/>
    <w:rsid w:val="007F5D4F"/>
    <w:rsid w:val="00826E89"/>
    <w:rsid w:val="00832A07"/>
    <w:rsid w:val="008364EF"/>
    <w:rsid w:val="00842B24"/>
    <w:rsid w:val="00854F20"/>
    <w:rsid w:val="0086634B"/>
    <w:rsid w:val="008710FC"/>
    <w:rsid w:val="00884331"/>
    <w:rsid w:val="00895B29"/>
    <w:rsid w:val="008A0ECD"/>
    <w:rsid w:val="008A269A"/>
    <w:rsid w:val="008C1384"/>
    <w:rsid w:val="008C511E"/>
    <w:rsid w:val="00904F60"/>
    <w:rsid w:val="009054E6"/>
    <w:rsid w:val="00915311"/>
    <w:rsid w:val="00932DEE"/>
    <w:rsid w:val="00951190"/>
    <w:rsid w:val="00955ED8"/>
    <w:rsid w:val="00964B0C"/>
    <w:rsid w:val="0098692D"/>
    <w:rsid w:val="009B085A"/>
    <w:rsid w:val="009C0CE8"/>
    <w:rsid w:val="009C6859"/>
    <w:rsid w:val="009D0861"/>
    <w:rsid w:val="009D1727"/>
    <w:rsid w:val="009E322C"/>
    <w:rsid w:val="009F123A"/>
    <w:rsid w:val="00A00FFE"/>
    <w:rsid w:val="00A04D79"/>
    <w:rsid w:val="00A07E8B"/>
    <w:rsid w:val="00A13F23"/>
    <w:rsid w:val="00A14244"/>
    <w:rsid w:val="00A273CA"/>
    <w:rsid w:val="00A47F29"/>
    <w:rsid w:val="00A65FD0"/>
    <w:rsid w:val="00A668A6"/>
    <w:rsid w:val="00A67512"/>
    <w:rsid w:val="00A67913"/>
    <w:rsid w:val="00A83073"/>
    <w:rsid w:val="00A90660"/>
    <w:rsid w:val="00A97055"/>
    <w:rsid w:val="00AA20E6"/>
    <w:rsid w:val="00AA7626"/>
    <w:rsid w:val="00AC3F50"/>
    <w:rsid w:val="00AC3FB8"/>
    <w:rsid w:val="00AD25D5"/>
    <w:rsid w:val="00AD51FE"/>
    <w:rsid w:val="00AE4720"/>
    <w:rsid w:val="00B077FA"/>
    <w:rsid w:val="00B22B5A"/>
    <w:rsid w:val="00B40D91"/>
    <w:rsid w:val="00B433D1"/>
    <w:rsid w:val="00B451B8"/>
    <w:rsid w:val="00B65C01"/>
    <w:rsid w:val="00B950F1"/>
    <w:rsid w:val="00BA6B8C"/>
    <w:rsid w:val="00BC19CC"/>
    <w:rsid w:val="00BF6CC1"/>
    <w:rsid w:val="00C14C51"/>
    <w:rsid w:val="00C23A42"/>
    <w:rsid w:val="00C32567"/>
    <w:rsid w:val="00C336B6"/>
    <w:rsid w:val="00C341B9"/>
    <w:rsid w:val="00C61538"/>
    <w:rsid w:val="00C74D5E"/>
    <w:rsid w:val="00C7525F"/>
    <w:rsid w:val="00C9000D"/>
    <w:rsid w:val="00C9262A"/>
    <w:rsid w:val="00CB2ACD"/>
    <w:rsid w:val="00CC73B5"/>
    <w:rsid w:val="00CD216E"/>
    <w:rsid w:val="00CE02DD"/>
    <w:rsid w:val="00CE312E"/>
    <w:rsid w:val="00CF3FA3"/>
    <w:rsid w:val="00CF5A8A"/>
    <w:rsid w:val="00D039B0"/>
    <w:rsid w:val="00D11E0E"/>
    <w:rsid w:val="00D20198"/>
    <w:rsid w:val="00D31152"/>
    <w:rsid w:val="00D350A7"/>
    <w:rsid w:val="00D42449"/>
    <w:rsid w:val="00D445B8"/>
    <w:rsid w:val="00D514DB"/>
    <w:rsid w:val="00D55215"/>
    <w:rsid w:val="00D632A9"/>
    <w:rsid w:val="00D66C20"/>
    <w:rsid w:val="00D71341"/>
    <w:rsid w:val="00D92ADD"/>
    <w:rsid w:val="00DB5548"/>
    <w:rsid w:val="00DC1530"/>
    <w:rsid w:val="00DC21AE"/>
    <w:rsid w:val="00DC21C1"/>
    <w:rsid w:val="00DC4BED"/>
    <w:rsid w:val="00DD3305"/>
    <w:rsid w:val="00DE006A"/>
    <w:rsid w:val="00DF52F0"/>
    <w:rsid w:val="00E05A26"/>
    <w:rsid w:val="00E2278F"/>
    <w:rsid w:val="00E2377E"/>
    <w:rsid w:val="00E26B91"/>
    <w:rsid w:val="00E30632"/>
    <w:rsid w:val="00E40F45"/>
    <w:rsid w:val="00E443B0"/>
    <w:rsid w:val="00E46E33"/>
    <w:rsid w:val="00E534E9"/>
    <w:rsid w:val="00E67B2B"/>
    <w:rsid w:val="00E74F65"/>
    <w:rsid w:val="00E815BE"/>
    <w:rsid w:val="00E878A1"/>
    <w:rsid w:val="00E9615C"/>
    <w:rsid w:val="00EB53CE"/>
    <w:rsid w:val="00EC2398"/>
    <w:rsid w:val="00ED1D2B"/>
    <w:rsid w:val="00ED7B87"/>
    <w:rsid w:val="00EE1AA2"/>
    <w:rsid w:val="00F03F8D"/>
    <w:rsid w:val="00F14AD9"/>
    <w:rsid w:val="00F249BB"/>
    <w:rsid w:val="00F24CC9"/>
    <w:rsid w:val="00F2556F"/>
    <w:rsid w:val="00F26786"/>
    <w:rsid w:val="00F37128"/>
    <w:rsid w:val="00F62D93"/>
    <w:rsid w:val="00F727DE"/>
    <w:rsid w:val="00F805A6"/>
    <w:rsid w:val="00F8774B"/>
    <w:rsid w:val="00F909F3"/>
    <w:rsid w:val="00F9435E"/>
    <w:rsid w:val="00F948A2"/>
    <w:rsid w:val="00F95304"/>
    <w:rsid w:val="00FB05FE"/>
    <w:rsid w:val="00FC0073"/>
    <w:rsid w:val="00FD41C7"/>
    <w:rsid w:val="00FE4E81"/>
    <w:rsid w:val="00FE7DB4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C7D1"/>
  <w15:docId w15:val="{5B2CF731-8C5E-46C2-909C-39CD4A2B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7" w:line="223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aliases w:val="Conclusion de partie,Nad,A-Odrážky1,Odstavec_muj,_Odstavec se seznamem,Odstavec_muj1,Odstavec_muj2,Odstavec_muj3,Nad1,Odstavec_muj4,Nad2,List Paragraph2,Odstavec_muj5,Odstavec_muj6,Odstavec_muj7,Odstavec_muj8,List Paragraph,Dot pt,2"/>
    <w:basedOn w:val="Normln"/>
    <w:link w:val="OdstavecseseznamemChar"/>
    <w:uiPriority w:val="34"/>
    <w:qFormat/>
    <w:rsid w:val="00416A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D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063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06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06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0632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6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63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632"/>
    <w:rPr>
      <w:rFonts w:ascii="Segoe UI" w:eastAsia="Calibri" w:hAnsi="Segoe UI" w:cs="Segoe UI"/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4E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4E81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4E81"/>
    <w:rPr>
      <w:vertAlign w:val="superscript"/>
    </w:rPr>
  </w:style>
  <w:style w:type="paragraph" w:styleId="Bezmezer">
    <w:name w:val="No Spacing"/>
    <w:uiPriority w:val="1"/>
    <w:qFormat/>
    <w:rsid w:val="00F805A6"/>
    <w:pPr>
      <w:spacing w:after="0" w:line="240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  <w:style w:type="paragraph" w:customStyle="1" w:styleId="Rozhodnut">
    <w:name w:val="Rozhodnutí"/>
    <w:basedOn w:val="Normln"/>
    <w:link w:val="RozhodnutChar"/>
    <w:qFormat/>
    <w:rsid w:val="00F03F8D"/>
    <w:pPr>
      <w:tabs>
        <w:tab w:val="left" w:pos="1206"/>
      </w:tabs>
      <w:spacing w:before="480" w:after="720" w:line="240" w:lineRule="auto"/>
      <w:ind w:left="0" w:firstLine="0"/>
      <w:jc w:val="center"/>
    </w:pPr>
    <w:rPr>
      <w:rFonts w:ascii="Cambria" w:eastAsia="Times New Roman" w:hAnsi="Cambria" w:cs="Times New Roman"/>
      <w:b/>
      <w:color w:val="1F497D"/>
      <w:sz w:val="36"/>
      <w:szCs w:val="40"/>
      <w:lang w:val="x-none" w:eastAsia="x-none"/>
    </w:rPr>
  </w:style>
  <w:style w:type="character" w:customStyle="1" w:styleId="RozhodnutChar">
    <w:name w:val="Rozhodnutí Char"/>
    <w:link w:val="Rozhodnut"/>
    <w:rsid w:val="00F03F8D"/>
    <w:rPr>
      <w:rFonts w:ascii="Cambria" w:eastAsia="Times New Roman" w:hAnsi="Cambria" w:cs="Times New Roman"/>
      <w:b/>
      <w:color w:val="1F497D"/>
      <w:sz w:val="36"/>
      <w:szCs w:val="40"/>
      <w:lang w:val="x-none" w:eastAsia="x-none"/>
    </w:rPr>
  </w:style>
  <w:style w:type="character" w:customStyle="1" w:styleId="OdstavecseseznamemChar">
    <w:name w:val="Odstavec se seznamem Char"/>
    <w:aliases w:val="Conclusion de partie Char,Nad Char,A-Odrážky1 Char,Odstavec_muj Char,_Odstavec se seznamem Char,Odstavec_muj1 Char,Odstavec_muj2 Char,Odstavec_muj3 Char,Nad1 Char,Odstavec_muj4 Char,Nad2 Char,List Paragraph2 Char,Dot pt Char"/>
    <w:link w:val="Odstavecseseznamem"/>
    <w:uiPriority w:val="34"/>
    <w:qFormat/>
    <w:rsid w:val="00786D0E"/>
    <w:rPr>
      <w:rFonts w:ascii="Calibri" w:eastAsia="Calibri" w:hAnsi="Calibri" w:cs="Calibri"/>
      <w:color w:val="000000"/>
      <w:sz w:val="24"/>
    </w:rPr>
  </w:style>
  <w:style w:type="paragraph" w:styleId="Zkladntextodsazen">
    <w:name w:val="Body Text Indent"/>
    <w:basedOn w:val="Normln"/>
    <w:link w:val="ZkladntextodsazenChar"/>
    <w:unhideWhenUsed/>
    <w:rsid w:val="00A668A6"/>
    <w:pPr>
      <w:spacing w:after="120" w:line="240" w:lineRule="auto"/>
      <w:ind w:left="283" w:firstLine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668A6"/>
    <w:rPr>
      <w:rFonts w:ascii="Times New Roman" w:eastAsia="Calibri" w:hAnsi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000F1E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D9DE-BF12-4FA3-99EC-B8563AAE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D-17.281-1 Herduka úklidové práce</vt:lpstr>
    </vt:vector>
  </TitlesOfParts>
  <Company>Úřad vlády ČR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D-17.281-1 Herduka úklidové práce</dc:title>
  <dc:subject/>
  <dc:creator>sedlaro</dc:creator>
  <cp:keywords/>
  <cp:lastModifiedBy>Húsková Eva</cp:lastModifiedBy>
  <cp:revision>4</cp:revision>
  <cp:lastPrinted>2021-11-18T14:22:00Z</cp:lastPrinted>
  <dcterms:created xsi:type="dcterms:W3CDTF">2022-11-28T16:05:00Z</dcterms:created>
  <dcterms:modified xsi:type="dcterms:W3CDTF">2022-11-28T16:08:00Z</dcterms:modified>
</cp:coreProperties>
</file>