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487CF" w14:textId="77777777" w:rsidR="00EA1F86" w:rsidRDefault="00FA1B27">
      <w:pPr>
        <w:spacing w:after="355" w:line="259" w:lineRule="auto"/>
        <w:ind w:left="3515" w:right="0" w:firstLine="0"/>
        <w:jc w:val="left"/>
      </w:pPr>
      <w:r>
        <w:rPr>
          <w:noProof/>
        </w:rPr>
        <w:drawing>
          <wp:inline distT="0" distB="0" distL="0" distR="0" wp14:anchorId="7AEDDA97" wp14:editId="11E7C32D">
            <wp:extent cx="1677189" cy="591368"/>
            <wp:effectExtent l="0" t="0" r="0" b="0"/>
            <wp:docPr id="1706" name="Picture 1706"/>
            <wp:cNvGraphicFramePr/>
            <a:graphic xmlns:a="http://schemas.openxmlformats.org/drawingml/2006/main">
              <a:graphicData uri="http://schemas.openxmlformats.org/drawingml/2006/picture">
                <pic:pic xmlns:pic="http://schemas.openxmlformats.org/drawingml/2006/picture">
                  <pic:nvPicPr>
                    <pic:cNvPr id="1706" name="Picture 1706"/>
                    <pic:cNvPicPr/>
                  </pic:nvPicPr>
                  <pic:blipFill>
                    <a:blip r:embed="rId7"/>
                    <a:stretch>
                      <a:fillRect/>
                    </a:stretch>
                  </pic:blipFill>
                  <pic:spPr>
                    <a:xfrm>
                      <a:off x="0" y="0"/>
                      <a:ext cx="1677189" cy="591368"/>
                    </a:xfrm>
                    <a:prstGeom prst="rect">
                      <a:avLst/>
                    </a:prstGeom>
                  </pic:spPr>
                </pic:pic>
              </a:graphicData>
            </a:graphic>
          </wp:inline>
        </w:drawing>
      </w:r>
    </w:p>
    <w:p w14:paraId="2EDAE0AC" w14:textId="77777777" w:rsidR="00EA1F86" w:rsidRDefault="00FA1B27">
      <w:pPr>
        <w:spacing w:after="0" w:line="259" w:lineRule="auto"/>
        <w:ind w:left="38" w:right="0" w:firstLine="0"/>
        <w:jc w:val="left"/>
      </w:pPr>
      <w:r>
        <w:rPr>
          <w:sz w:val="28"/>
          <w:u w:val="single" w:color="000000"/>
        </w:rPr>
        <w:t>SMLOUVA č. 2022/0734</w:t>
      </w:r>
    </w:p>
    <w:p w14:paraId="1DEA0379" w14:textId="77777777" w:rsidR="00EA1F86" w:rsidRDefault="00FA1B27">
      <w:pPr>
        <w:spacing w:after="235" w:line="261" w:lineRule="auto"/>
        <w:ind w:left="39" w:right="4111" w:hanging="10"/>
      </w:pPr>
      <w:r>
        <w:rPr>
          <w:sz w:val="24"/>
        </w:rPr>
        <w:t xml:space="preserve">Symfonický orchestr hlavního města Prahy FOK zastoupený: Ing. Danielem Sobotkou, ředitelem náměstí Republiky 5, 110 00 Praha I lč: 00064475, DIČ: CZ00064475 </w:t>
      </w:r>
      <w:r>
        <w:rPr>
          <w:sz w:val="24"/>
        </w:rPr>
        <w:t>bankovní spojení: PPF banka a.s., č. úč. 2000990007/6000 (dále objednatel) na straně jedné a</w:t>
      </w:r>
    </w:p>
    <w:p w14:paraId="3593FC65" w14:textId="77777777" w:rsidR="00EA1F86" w:rsidRDefault="00FA1B27">
      <w:pPr>
        <w:spacing w:after="3" w:line="261" w:lineRule="auto"/>
        <w:ind w:left="58" w:right="2968" w:hanging="10"/>
      </w:pPr>
      <w:r>
        <w:rPr>
          <w:sz w:val="24"/>
        </w:rPr>
        <w:t xml:space="preserve">Pražský filharmonický sbor zastoupený: Davidem Marečkem, ředitelem Melantrichova 970/17B, Praha 1, Česká republika IČO: 14450577 bankovní spojení: Komerční banka, </w:t>
      </w:r>
      <w:r>
        <w:rPr>
          <w:sz w:val="24"/>
        </w:rPr>
        <w:t>a.s., Praha I, č. ú. 58035011/0710 daňový rezident (země): Česká republika</w:t>
      </w:r>
    </w:p>
    <w:p w14:paraId="09467474" w14:textId="77777777" w:rsidR="00EA1F86" w:rsidRDefault="00FA1B27">
      <w:pPr>
        <w:spacing w:after="3" w:line="261" w:lineRule="auto"/>
        <w:ind w:left="120" w:right="864" w:hanging="10"/>
      </w:pPr>
      <w:r>
        <w:rPr>
          <w:sz w:val="24"/>
        </w:rPr>
        <w:t>(dále jen umělec) na straně druhé uzavírají níže uvedeného dne, měsíce a roku tuto smlouvu o provedení uměleckého výkonu.</w:t>
      </w:r>
    </w:p>
    <w:tbl>
      <w:tblPr>
        <w:tblStyle w:val="TableGrid"/>
        <w:tblW w:w="8798" w:type="dxa"/>
        <w:tblInd w:w="67" w:type="dxa"/>
        <w:tblCellMar>
          <w:top w:w="25" w:type="dxa"/>
        </w:tblCellMar>
        <w:tblLook w:val="04A0" w:firstRow="1" w:lastRow="0" w:firstColumn="1" w:lastColumn="0" w:noHBand="0" w:noVBand="1"/>
      </w:tblPr>
      <w:tblGrid>
        <w:gridCol w:w="2132"/>
        <w:gridCol w:w="6666"/>
      </w:tblGrid>
      <w:tr w:rsidR="00EA1F86" w14:paraId="5F13288A" w14:textId="77777777">
        <w:trPr>
          <w:trHeight w:val="1411"/>
        </w:trPr>
        <w:tc>
          <w:tcPr>
            <w:tcW w:w="2132" w:type="dxa"/>
            <w:tcBorders>
              <w:top w:val="nil"/>
              <w:left w:val="nil"/>
              <w:bottom w:val="nil"/>
              <w:right w:val="nil"/>
            </w:tcBorders>
          </w:tcPr>
          <w:p w14:paraId="6EEE3DBC" w14:textId="77777777" w:rsidR="00EA1F86" w:rsidRDefault="00FA1B27">
            <w:pPr>
              <w:spacing w:after="244" w:line="259" w:lineRule="auto"/>
              <w:ind w:left="0" w:right="0" w:firstLine="0"/>
              <w:jc w:val="left"/>
            </w:pPr>
            <w:r>
              <w:rPr>
                <w:sz w:val="24"/>
              </w:rPr>
              <w:t xml:space="preserve">DATUM A ČAS: </w:t>
            </w:r>
          </w:p>
          <w:p w14:paraId="44C34CF5" w14:textId="77777777" w:rsidR="00EA1F86" w:rsidRDefault="00FA1B27">
            <w:pPr>
              <w:spacing w:after="0" w:line="259" w:lineRule="auto"/>
              <w:ind w:left="0" w:right="0" w:firstLine="0"/>
              <w:jc w:val="left"/>
            </w:pPr>
            <w:r>
              <w:rPr>
                <w:sz w:val="26"/>
              </w:rPr>
              <w:t>ZKOUŠKY:</w:t>
            </w:r>
          </w:p>
        </w:tc>
        <w:tc>
          <w:tcPr>
            <w:tcW w:w="6666" w:type="dxa"/>
            <w:tcBorders>
              <w:top w:val="nil"/>
              <w:left w:val="nil"/>
              <w:bottom w:val="nil"/>
              <w:right w:val="nil"/>
            </w:tcBorders>
          </w:tcPr>
          <w:p w14:paraId="136C2FFE" w14:textId="77777777" w:rsidR="00EA1F86" w:rsidRDefault="00FA1B27">
            <w:pPr>
              <w:spacing w:after="239" w:line="259" w:lineRule="auto"/>
              <w:ind w:left="0" w:right="0" w:firstLine="0"/>
              <w:jc w:val="left"/>
            </w:pPr>
            <w:r>
              <w:rPr>
                <w:sz w:val="26"/>
              </w:rPr>
              <w:t xml:space="preserve">7. a 8. 12.2022 od 19:30 Smetanova </w:t>
            </w:r>
            <w:r>
              <w:rPr>
                <w:sz w:val="26"/>
              </w:rPr>
              <w:t>síň Obecního domu</w:t>
            </w:r>
          </w:p>
          <w:p w14:paraId="3879E6B6" w14:textId="77777777" w:rsidR="00EA1F86" w:rsidRDefault="00FA1B27">
            <w:pPr>
              <w:spacing w:after="0" w:line="259" w:lineRule="auto"/>
              <w:ind w:left="0" w:right="0" w:firstLine="0"/>
              <w:jc w:val="left"/>
            </w:pPr>
            <w:r>
              <w:rPr>
                <w:sz w:val="24"/>
              </w:rPr>
              <w:t>Pá 2.12.2022 15:00 - 17:00 klavírní zkouška (zkušebna PFS)</w:t>
            </w:r>
          </w:p>
          <w:p w14:paraId="379499E0" w14:textId="77777777" w:rsidR="00EA1F86" w:rsidRDefault="00FA1B27">
            <w:pPr>
              <w:spacing w:after="0" w:line="259" w:lineRule="auto"/>
              <w:ind w:left="10" w:right="0" w:firstLine="0"/>
            </w:pPr>
            <w:r>
              <w:rPr>
                <w:sz w:val="24"/>
              </w:rPr>
              <w:t>Po 5.12.2022 13:30 — 16:00 orchestrální zkouška Smetanova síň OD</w:t>
            </w:r>
          </w:p>
          <w:p w14:paraId="5AE00455" w14:textId="77777777" w:rsidR="00EA1F86" w:rsidRDefault="00FA1B27">
            <w:pPr>
              <w:spacing w:after="0" w:line="259" w:lineRule="auto"/>
              <w:ind w:left="10" w:right="0" w:firstLine="0"/>
              <w:jc w:val="left"/>
            </w:pPr>
            <w:r>
              <w:rPr>
                <w:sz w:val="24"/>
              </w:rPr>
              <w:t>St 7.12.2022 10:00 — 12:30 generální zkouška Smetanova síň OD</w:t>
            </w:r>
          </w:p>
        </w:tc>
      </w:tr>
    </w:tbl>
    <w:p w14:paraId="7D07130A" w14:textId="77777777" w:rsidR="00EA1F86" w:rsidRDefault="00FA1B27">
      <w:pPr>
        <w:spacing w:after="231" w:line="259" w:lineRule="auto"/>
        <w:ind w:left="81" w:right="0" w:hanging="10"/>
        <w:jc w:val="left"/>
      </w:pPr>
      <w:r>
        <w:rPr>
          <w:sz w:val="26"/>
        </w:rPr>
        <w:t xml:space="preserve">PROGRAM: F. Poulenc- Laně, suita z baletu, Gloria </w:t>
      </w:r>
      <w:r>
        <w:rPr>
          <w:sz w:val="26"/>
        </w:rPr>
        <w:t>pro soprán, sbor a orchestr</w:t>
      </w:r>
    </w:p>
    <w:p w14:paraId="13726FD4" w14:textId="77777777" w:rsidR="00EA1F86" w:rsidRDefault="00FA1B27">
      <w:pPr>
        <w:spacing w:after="3" w:line="261" w:lineRule="auto"/>
        <w:ind w:left="1518" w:right="0" w:hanging="10"/>
      </w:pPr>
      <w:r>
        <w:rPr>
          <w:sz w:val="24"/>
        </w:rPr>
        <w:t>W.A.Mozart - Koncert pro klavír a orchestr č. 25 C dur K 503</w:t>
      </w:r>
    </w:p>
    <w:p w14:paraId="2838E1F9" w14:textId="77777777" w:rsidR="00EA1F86" w:rsidRDefault="00FA1B27">
      <w:pPr>
        <w:spacing w:after="231" w:line="259" w:lineRule="auto"/>
        <w:ind w:left="2930" w:right="0" w:hanging="10"/>
        <w:jc w:val="left"/>
      </w:pPr>
      <w:r>
        <w:rPr>
          <w:sz w:val="26"/>
        </w:rPr>
        <w:t>Exsultate, jubilate, moteto pro soprán a orchestr K 165</w:t>
      </w:r>
    </w:p>
    <w:p w14:paraId="2941CBA6" w14:textId="77777777" w:rsidR="00EA1F86" w:rsidRDefault="00FA1B27">
      <w:pPr>
        <w:spacing w:after="240" w:line="261" w:lineRule="auto"/>
        <w:ind w:left="120" w:right="0" w:hanging="10"/>
      </w:pPr>
      <w:r>
        <w:rPr>
          <w:sz w:val="24"/>
        </w:rPr>
        <w:t>DIRIGENT: JacVAN STEEN</w:t>
      </w:r>
    </w:p>
    <w:p w14:paraId="5C2E7000" w14:textId="77777777" w:rsidR="00EA1F86" w:rsidRDefault="00FA1B27">
      <w:pPr>
        <w:spacing w:after="559" w:line="261" w:lineRule="auto"/>
        <w:ind w:left="120" w:right="0" w:hanging="10"/>
      </w:pPr>
      <w:r>
        <w:rPr>
          <w:sz w:val="24"/>
        </w:rPr>
        <w:t>SBORMISTR: Lukáš KOZUBÍK</w:t>
      </w:r>
    </w:p>
    <w:p w14:paraId="7C8BA1E3" w14:textId="77777777" w:rsidR="00EA1F86" w:rsidRDefault="00FA1B27">
      <w:pPr>
        <w:spacing w:after="249" w:line="261" w:lineRule="auto"/>
        <w:ind w:left="120" w:right="0" w:hanging="10"/>
      </w:pPr>
      <w:r>
        <w:rPr>
          <w:sz w:val="24"/>
        </w:rPr>
        <w:t>HONORÁŘ: 160.000 Kč</w:t>
      </w:r>
    </w:p>
    <w:p w14:paraId="13CE8544" w14:textId="77777777" w:rsidR="00EA1F86" w:rsidRDefault="00FA1B27">
      <w:pPr>
        <w:numPr>
          <w:ilvl w:val="0"/>
          <w:numId w:val="1"/>
        </w:numPr>
        <w:spacing w:after="3" w:line="261" w:lineRule="auto"/>
        <w:ind w:right="0" w:hanging="250"/>
      </w:pPr>
      <w:r>
        <w:rPr>
          <w:sz w:val="24"/>
        </w:rPr>
        <w:t xml:space="preserve">částka bude převedena na výše uvedený účet </w:t>
      </w:r>
      <w:r>
        <w:rPr>
          <w:sz w:val="24"/>
        </w:rPr>
        <w:t>na základě faktury vystavené umělcem do 14 dnů po uskutečnění jednotlivých koncertů, které jsou předmětem této smlouvy. Honorář zahrnuje také náklady na zkušebnu a korepetitora na klavírní zkoušku a honorář sbormistra.</w:t>
      </w:r>
    </w:p>
    <w:p w14:paraId="74DB48A8" w14:textId="77777777" w:rsidR="00EA1F86" w:rsidRDefault="00FA1B27">
      <w:pPr>
        <w:numPr>
          <w:ilvl w:val="0"/>
          <w:numId w:val="1"/>
        </w:numPr>
        <w:spacing w:after="3" w:line="261" w:lineRule="auto"/>
        <w:ind w:right="0" w:hanging="250"/>
      </w:pPr>
      <w:r>
        <w:rPr>
          <w:sz w:val="24"/>
        </w:rPr>
        <w:t>Strany se dohodly, že smlouvu zveřejn</w:t>
      </w:r>
      <w:r>
        <w:rPr>
          <w:sz w:val="24"/>
        </w:rPr>
        <w:t>í v Registru smluv umělec.</w:t>
      </w:r>
    </w:p>
    <w:p w14:paraId="1B7F55C3" w14:textId="77777777" w:rsidR="00EA1F86" w:rsidRDefault="00FA1B27">
      <w:pPr>
        <w:numPr>
          <w:ilvl w:val="0"/>
          <w:numId w:val="1"/>
        </w:numPr>
        <w:spacing w:after="3" w:line="261" w:lineRule="auto"/>
        <w:ind w:right="0" w:hanging="250"/>
      </w:pPr>
      <w:r>
        <w:rPr>
          <w:sz w:val="24"/>
        </w:rPr>
        <w:t>Umělec obdrží 10 ks čestných vstupenek na každý koncert.</w:t>
      </w:r>
    </w:p>
    <w:p w14:paraId="7F09CFB6" w14:textId="2FC14A9A" w:rsidR="00EA1F86" w:rsidRDefault="00FA1B27" w:rsidP="00016D58">
      <w:pPr>
        <w:numPr>
          <w:ilvl w:val="0"/>
          <w:numId w:val="1"/>
        </w:numPr>
        <w:spacing w:after="3" w:line="261" w:lineRule="auto"/>
        <w:ind w:right="0" w:hanging="250"/>
      </w:pPr>
      <w:r>
        <w:rPr>
          <w:sz w:val="24"/>
        </w:rPr>
        <w:t>Vzhledem k programu koncertu si objednatel vyhrazuje právo změnit (upřesnit) data a časy zkoušek po dohodě s</w:t>
      </w:r>
      <w:r w:rsidR="00016D58">
        <w:rPr>
          <w:sz w:val="24"/>
        </w:rPr>
        <w:t> </w:t>
      </w:r>
      <w:r>
        <w:rPr>
          <w:sz w:val="24"/>
        </w:rPr>
        <w:t>účinkujícími</w:t>
      </w:r>
      <w:r w:rsidRPr="00016D58">
        <w:rPr>
          <w:sz w:val="24"/>
        </w:rPr>
        <w:t xml:space="preserve"> umělci a dirigentem.</w:t>
      </w:r>
    </w:p>
    <w:p w14:paraId="2FFAE920" w14:textId="77777777" w:rsidR="00016D58" w:rsidRDefault="00016D58">
      <w:pPr>
        <w:spacing w:after="165" w:line="261" w:lineRule="auto"/>
        <w:ind w:left="10" w:right="0" w:hanging="10"/>
        <w:rPr>
          <w:sz w:val="24"/>
        </w:rPr>
      </w:pPr>
    </w:p>
    <w:p w14:paraId="69184C69" w14:textId="00935A46" w:rsidR="00EA1F86" w:rsidRDefault="00FA1B27">
      <w:pPr>
        <w:spacing w:after="165" w:line="261" w:lineRule="auto"/>
        <w:ind w:left="10" w:right="0" w:hanging="10"/>
      </w:pPr>
      <w:r>
        <w:rPr>
          <w:sz w:val="24"/>
        </w:rPr>
        <w:t>Všeobecné podmínky</w:t>
      </w:r>
    </w:p>
    <w:p w14:paraId="6438446A" w14:textId="51E98745" w:rsidR="00EA1F86" w:rsidRDefault="00FA1B27">
      <w:pPr>
        <w:spacing w:after="48"/>
        <w:ind w:left="360"/>
      </w:pPr>
      <w:r>
        <w:rPr>
          <w:noProof/>
        </w:rPr>
        <w:drawing>
          <wp:inline distT="0" distB="0" distL="0" distR="0" wp14:anchorId="290911CD" wp14:editId="5BFCB3EC">
            <wp:extent cx="73186" cy="91449"/>
            <wp:effectExtent l="0" t="0" r="0" b="0"/>
            <wp:docPr id="14476" name="Picture 14476"/>
            <wp:cNvGraphicFramePr/>
            <a:graphic xmlns:a="http://schemas.openxmlformats.org/drawingml/2006/main">
              <a:graphicData uri="http://schemas.openxmlformats.org/drawingml/2006/picture">
                <pic:pic xmlns:pic="http://schemas.openxmlformats.org/drawingml/2006/picture">
                  <pic:nvPicPr>
                    <pic:cNvPr id="14476" name="Picture 14476"/>
                    <pic:cNvPicPr/>
                  </pic:nvPicPr>
                  <pic:blipFill>
                    <a:blip r:embed="rId8"/>
                    <a:stretch>
                      <a:fillRect/>
                    </a:stretch>
                  </pic:blipFill>
                  <pic:spPr>
                    <a:xfrm>
                      <a:off x="0" y="0"/>
                      <a:ext cx="73186" cy="91449"/>
                    </a:xfrm>
                    <a:prstGeom prst="rect">
                      <a:avLst/>
                    </a:prstGeom>
                  </pic:spPr>
                </pic:pic>
              </a:graphicData>
            </a:graphic>
          </wp:inline>
        </w:drawing>
      </w:r>
      <w:r w:rsidR="00016D58">
        <w:t xml:space="preserve">     </w:t>
      </w:r>
      <w:r>
        <w:t>Poj</w:t>
      </w:r>
      <w:r>
        <w:t xml:space="preserve">mem smluvní strana, pokud je použit ve smlouve nebo dále v těchto Všeobecných podmínkách, se rozumí umělec nebo všichni umělci a rovněž i umělecké soubory, orchestry, sbory, hudební tělesa a jiná obdobná seskupení, jejichž umělecké vystoupení je předmětem </w:t>
      </w:r>
      <w:r>
        <w:t>této smlouvy, ať již vstupují do smluvního vztahu podle této smlouvy přímo nebo prostřednictvím svého zprostředkovatele, zaměstnavatele nebo zmocněného zástupce.</w:t>
      </w:r>
    </w:p>
    <w:p w14:paraId="5DA58267" w14:textId="77777777" w:rsidR="00EA1F86" w:rsidRDefault="00FA1B27">
      <w:pPr>
        <w:numPr>
          <w:ilvl w:val="0"/>
          <w:numId w:val="2"/>
        </w:numPr>
        <w:spacing w:after="59"/>
        <w:ind w:right="43"/>
      </w:pPr>
      <w:r>
        <w:t>Smluvní strana odpovídá za to, že na své náklady zajistí hudební nástroje, notové materiály, o</w:t>
      </w:r>
      <w:r>
        <w:t>bleky, kostýmy a jiné prostředky potřebné, popřípadě vyžadované objednatelem pro její umělecké vystoupení v předmětu smlouvy.</w:t>
      </w:r>
    </w:p>
    <w:p w14:paraId="318898D6" w14:textId="77777777" w:rsidR="00EA1F86" w:rsidRDefault="00FA1B27">
      <w:pPr>
        <w:numPr>
          <w:ilvl w:val="0"/>
          <w:numId w:val="2"/>
        </w:numPr>
        <w:spacing w:after="40"/>
        <w:ind w:right="43"/>
      </w:pPr>
      <w:r>
        <w:t>Smluvní strana se zavazuje a prohlašuje, že pro účely vymezené v předmětu této smlouvy bude nacvičovat a zkoušet, popřípadě se zúč</w:t>
      </w:r>
      <w:r>
        <w:t>astnit zkoušek dle instrukcí objednatele, že bude odveden umělecký výkon, který bude odpovídat nejlepším schopnostem a kvalitám osob, které jsou smluvní stranou, nebo jejichž jménem tato jedná, a že dodrží všechny případné organizační či jiné instrukce zás</w:t>
      </w:r>
      <w:r>
        <w:t>tupce objednatele vztahující se k uměleckému vystoupení.</w:t>
      </w:r>
    </w:p>
    <w:p w14:paraId="605C2767" w14:textId="5D50421F" w:rsidR="00EA1F86" w:rsidRDefault="00FA1B27">
      <w:pPr>
        <w:numPr>
          <w:ilvl w:val="0"/>
          <w:numId w:val="2"/>
        </w:numPr>
        <w:spacing w:after="45"/>
        <w:ind w:right="43"/>
      </w:pPr>
      <w:r>
        <w:lastRenderedPageBreak/>
        <w:t>Smluvní strana se zaručuje, že vystupující umělci, kteří jsou smluvní stranou nebo jejichž jménem tato jedná, nejsou v době podepsání této smlouvy vázáni jinou smlouvou, která by jim bránila ve splně</w:t>
      </w:r>
      <w:r>
        <w:t>ní závazků z této smlouvy a ani po dobu platnosti této smlouvy nepřijme žádný závazek či do něho nevstoupí, který by jí (jim) bránil ve splnění nebo mohl ohrozit splnění této smlouvy. Taktéž se smluvní strana zaručuje, že umělci nevystoupí se stejným progr</w:t>
      </w:r>
      <w:r>
        <w:t>amem v průběhu 2 m</w:t>
      </w:r>
      <w:r w:rsidR="00016D58">
        <w:t>ě</w:t>
      </w:r>
      <w:r>
        <w:t>síců před a po smluvně uzavřeném uměleckém vystoupení v Praze.</w:t>
      </w:r>
    </w:p>
    <w:p w14:paraId="4A607634" w14:textId="7B1EBAC3" w:rsidR="00EA1F86" w:rsidRDefault="00FA1B27" w:rsidP="00016D58">
      <w:pPr>
        <w:pStyle w:val="Odstavecseseznamem"/>
        <w:numPr>
          <w:ilvl w:val="0"/>
          <w:numId w:val="3"/>
        </w:numPr>
        <w:spacing w:after="37"/>
        <w:ind w:right="43"/>
      </w:pPr>
      <w:r>
        <w:t>Umělecké vystoupení smluvní strany podle této smlouvy požívá ochrany podle autorského zákona č. 121/2000 Sb. ve znění pozdějších změn a doplňků. Bez předchozího písemného svo</w:t>
      </w:r>
      <w:r>
        <w:t>lení smluvní strany nelze pořizovat obrazové nebo zvukové záznamy uměleckého vystoupení včetně zkoušek, nebo provádět jejich přenosy s výjimkou zpravodajských šotů v délce trvání do 3 minut v televizi, rozhlase nebo jiném propagačním programu pro diváky či</w:t>
      </w:r>
      <w:r>
        <w:t xml:space="preserve"> posluchače neúčastnící se uměleckého vystoupení, přičemž délka nahrávek — snímání nepřekročí IO min. Objednatel prohlašuje, že si je vědom toho, že z uměleckého vystoupení smluvní strany nebo zkoušek na toto vystoupení podle této smlouvy nesmí být pořízen</w:t>
      </w:r>
      <w:r>
        <w:t>y žádné nahrávky nebo být propůjčena práva výkonných umělců na provedení uměleckých výkonů, kromě shora uvedené výjimky.</w:t>
      </w:r>
    </w:p>
    <w:p w14:paraId="71A39649" w14:textId="77777777" w:rsidR="00EA1F86" w:rsidRDefault="00FA1B27">
      <w:pPr>
        <w:numPr>
          <w:ilvl w:val="0"/>
          <w:numId w:val="3"/>
        </w:numPr>
        <w:ind w:right="43"/>
      </w:pPr>
      <w:r>
        <w:t>Smluvní strana dodá objednateli, bude-li jim o to požádána, na adresu jeho sídla krátkou informaci o vystupujících umělcích, které před</w:t>
      </w:r>
      <w:r>
        <w:t>stavuje respektive jejichž jménem jedná, a fotografie, obojí vhodné ke zveřejnění. Objednatel má právo tyto materiály reprodukovat a autorizovat jejich publikování. Smluvní strana prohlašuje, že vlastníkem autorských práv vztahujících se k předaným materiá</w:t>
      </w:r>
      <w:r>
        <w:t>lům, nebo že je oprávněná dávat souhlas k jejich užití objednatelem.</w:t>
      </w:r>
    </w:p>
    <w:p w14:paraId="2BC94FDA" w14:textId="77777777" w:rsidR="00EA1F86" w:rsidRDefault="00FA1B27">
      <w:pPr>
        <w:numPr>
          <w:ilvl w:val="0"/>
          <w:numId w:val="3"/>
        </w:numPr>
        <w:ind w:right="43"/>
      </w:pPr>
      <w:r>
        <w:t>Obstarávání víz nebo jiných povolení nutných k realizaci uměleckého vystoupení umělců, které smluvní strana představuje nebo jejichž jménem jedná je její záležitostí. Na požádání poskytne</w:t>
      </w:r>
      <w:r>
        <w:t xml:space="preserve"> objednatel k jejich obstarání pomoc v nezbytném rozsahu.</w:t>
      </w:r>
    </w:p>
    <w:p w14:paraId="6509363C" w14:textId="77777777" w:rsidR="00EA1F86" w:rsidRDefault="00FA1B27">
      <w:pPr>
        <w:numPr>
          <w:ilvl w:val="0"/>
          <w:numId w:val="3"/>
        </w:numPr>
        <w:ind w:right="43"/>
      </w:pPr>
      <w:r>
        <w:t>Předmět uměleckého vystoupení podle této smlouvy může být změněn pouze po písemné předchozí dohodě s objednatelem. Jakékoliv další projevy v souvislosti s plněním této smlouvy nejsou bez souhlasu ob</w:t>
      </w:r>
      <w:r>
        <w:t>jednatele přípustné.</w:t>
      </w:r>
    </w:p>
    <w:p w14:paraId="2D72860C" w14:textId="77777777" w:rsidR="00EA1F86" w:rsidRDefault="00FA1B27">
      <w:pPr>
        <w:numPr>
          <w:ilvl w:val="0"/>
          <w:numId w:val="3"/>
        </w:numPr>
        <w:ind w:right="43"/>
      </w:pPr>
      <w:r>
        <w:t>Objednatel neodpovídá smluvní straně za případné škody, újmy nebo ztráty na majetku nebo zdraví osob smluvní strany, vzniklé smluvní straně v souvislosti s plněním dle této smlouvy vyjma případu, že budou způsobeny zaviněním objednatel</w:t>
      </w:r>
      <w:r>
        <w:t>e.</w:t>
      </w:r>
    </w:p>
    <w:p w14:paraId="1D8D4391" w14:textId="77777777" w:rsidR="00EA1F86" w:rsidRDefault="00FA1B27">
      <w:pPr>
        <w:spacing w:after="73"/>
        <w:ind w:left="442" w:right="43"/>
      </w:pPr>
      <w:r>
        <w:t>IO. Smluvní strana (tj. subjekty, které jsou podle této smlouvy smluvní stranou — bod I všeobecných podmínek) bude přítomna v místě konání uměleckého vystoupení a v čase určeném touto smlouvou připravena k jeho provedení.</w:t>
      </w:r>
    </w:p>
    <w:p w14:paraId="4F65D6E9" w14:textId="77777777" w:rsidR="00EA1F86" w:rsidRDefault="00FA1B27">
      <w:pPr>
        <w:ind w:left="432" w:right="43"/>
      </w:pPr>
      <w:r>
        <w:t>I l .</w:t>
      </w:r>
      <w:r>
        <w:t xml:space="preserve"> Pokud nebude možno uskutečnit umělecké vystoupení smluvní strany z důvodu onemocnění osob smluvní strany nebo jakýchkoliv fyzických obtíží neumožňujících jejich umělecké vystoupení, zavazuje se smluvní strana pro tento případ ihned o tom uvědomit objednat</w:t>
      </w:r>
      <w:r>
        <w:t>ele a doručit mu lékařské (á) vysvědčení s uvedením povahy nemoci, případně fyzických potíží včetně čísla diagnózy, s uvedením, že brání v provedení uměleckého vystoupení.</w:t>
      </w:r>
    </w:p>
    <w:p w14:paraId="10F27C31" w14:textId="77777777" w:rsidR="00EA1F86" w:rsidRDefault="00FA1B27">
      <w:pPr>
        <w:numPr>
          <w:ilvl w:val="0"/>
          <w:numId w:val="4"/>
        </w:numPr>
        <w:ind w:left="452" w:right="43"/>
      </w:pPr>
      <w:r>
        <w:t xml:space="preserve">V případě, že se umělecké vystoupení smluvní strany nebude moci uskutečnit z jiných </w:t>
      </w:r>
      <w:r>
        <w:t>prokazatelně závažných důvodů, než je uvedeno výše v bodu I l. a které objednatel uzná jako dostatečné, je smluvní strana povinna zaplatit všechny náklady s tím vzniklé. Jedná se o náklady na honoráře suplujícím umělcům, kteří se podíleli na náhradním odpo</w:t>
      </w:r>
      <w:r>
        <w:t>vídajícím vystoupení a také veškeré ostatní prokazatelné výdaje vzniklé objednateli v souvislosti s tímto selháním smluvní strany.</w:t>
      </w:r>
    </w:p>
    <w:p w14:paraId="41932B95" w14:textId="77777777" w:rsidR="00EA1F86" w:rsidRDefault="00FA1B27">
      <w:pPr>
        <w:numPr>
          <w:ilvl w:val="0"/>
          <w:numId w:val="4"/>
        </w:numPr>
        <w:ind w:left="452" w:right="43"/>
      </w:pPr>
      <w:r>
        <w:t>Smluvní strana souhlasí s tím, že uhradí objednateli veškeré výdaje, které by mohly vzniknout objednateli v souvislosti s por</w:t>
      </w:r>
      <w:r>
        <w:t>ušením smluvního závazku podle této smlouvy, nebo jim daných záruk v souvislosti s uměleckým vystoupením smluvní strany či na základě toho, že při realizaci uměleckého vystoupení smluvní stranou byla poškozena práva třetích osob.</w:t>
      </w:r>
    </w:p>
    <w:p w14:paraId="106BDDAA" w14:textId="6B059100" w:rsidR="00EA1F86" w:rsidRDefault="00FA1B27" w:rsidP="00016D58">
      <w:pPr>
        <w:numPr>
          <w:ilvl w:val="0"/>
          <w:numId w:val="4"/>
        </w:numPr>
        <w:spacing w:after="218"/>
        <w:ind w:left="327" w:right="144" w:firstLine="0"/>
      </w:pPr>
      <w:r>
        <w:t xml:space="preserve">Jestliže umělecké </w:t>
      </w:r>
      <w:r>
        <w:t>vystoupení, které je předmětem této smlouvy nebude moci být uskutečněno z důvodů vyšší moci tj. např. z příčin přírodní katastrofy, nehody, oficiální stávky, epidemie, nařízení či výnosu příslušných úřadů jak místních tak i národních, vydaných po podpisu t</w:t>
      </w:r>
      <w:r>
        <w:t>éto smlouvy nebo i z jiných příčin, které nebylo možné předvídat</w:t>
      </w:r>
      <w:r w:rsidR="00016D58">
        <w:t xml:space="preserve"> </w:t>
      </w:r>
      <w:r>
        <w:t>nebo odpovídajícím úsilím odvrátit a které nebyly zapříčiněny některým z účastníků smlouvy a nelze spravedlivě na kterémkoliv z nich požadovat, aby v plnění smlouvy pokračoval nebo jej vyžado</w:t>
      </w:r>
      <w:r>
        <w:t>val, pak má každý z nich právo</w:t>
      </w:r>
    </w:p>
    <w:p w14:paraId="15237962" w14:textId="77777777" w:rsidR="00EA1F86" w:rsidRDefault="00FA1B27">
      <w:pPr>
        <w:ind w:left="336" w:right="43" w:firstLine="0"/>
      </w:pPr>
      <w:r>
        <w:t>od smlouvy odstoupit. Pro tento případ nemá žádný z účastníků smlouvy právo na úhradu jakýchkoliv finančních výdajů vynaložených v souvislosti s plněním této smlouvy.</w:t>
      </w:r>
    </w:p>
    <w:p w14:paraId="0CF4680A" w14:textId="629E7368" w:rsidR="00EA1F86" w:rsidRDefault="00016D58">
      <w:pPr>
        <w:numPr>
          <w:ilvl w:val="0"/>
          <w:numId w:val="5"/>
        </w:numPr>
        <w:ind w:right="43"/>
      </w:pPr>
      <w:r>
        <w:t>Vzáiemné vztahy účastníků této smlouvy ji výslovně neupravené se řídí právními předpisy České republiky.</w:t>
      </w:r>
    </w:p>
    <w:p w14:paraId="5C748308" w14:textId="56985D6D" w:rsidR="002815A5" w:rsidRDefault="00FA1B27" w:rsidP="002815A5">
      <w:pPr>
        <w:numPr>
          <w:ilvl w:val="0"/>
          <w:numId w:val="5"/>
        </w:numPr>
        <w:spacing w:after="3" w:line="261" w:lineRule="auto"/>
        <w:ind w:left="0" w:right="0" w:firstLine="0"/>
        <w:jc w:val="left"/>
      </w:pPr>
      <w:r>
        <w:t>Pokud v této smlouvě není uvedeno v jednotlivých případech jinak, lze tuto smlouvu m</w:t>
      </w:r>
      <w:bookmarkStart w:id="0" w:name="_GoBack"/>
      <w:bookmarkEnd w:id="0"/>
      <w:r w:rsidR="00016D58">
        <w:t>ě</w:t>
      </w:r>
      <w:r>
        <w:t xml:space="preserve">nit nebo rušit pouze </w:t>
      </w:r>
      <w:r w:rsidR="002815A5">
        <w:t xml:space="preserve">   p</w:t>
      </w:r>
      <w:r>
        <w:t>ísemnou formou.</w:t>
      </w:r>
    </w:p>
    <w:p w14:paraId="7877A0B1" w14:textId="77777777" w:rsidR="008D1AEF" w:rsidRDefault="008D1AEF" w:rsidP="008D1AEF">
      <w:pPr>
        <w:spacing w:after="3" w:line="261" w:lineRule="auto"/>
        <w:ind w:left="0" w:right="0" w:firstLine="0"/>
        <w:jc w:val="left"/>
        <w:rPr>
          <w:sz w:val="24"/>
        </w:rPr>
      </w:pPr>
    </w:p>
    <w:p w14:paraId="4236934A" w14:textId="78EE847B" w:rsidR="00EA1F86" w:rsidRDefault="00FA1B27" w:rsidP="008D1AEF">
      <w:pPr>
        <w:spacing w:after="3" w:line="261" w:lineRule="auto"/>
        <w:ind w:left="4956" w:right="0" w:firstLine="0"/>
        <w:jc w:val="left"/>
      </w:pPr>
      <w:r>
        <w:rPr>
          <w:noProof/>
          <w:sz w:val="22"/>
        </w:rPr>
        <mc:AlternateContent>
          <mc:Choice Requires="wpg">
            <w:drawing>
              <wp:anchor distT="0" distB="0" distL="114300" distR="114300" simplePos="0" relativeHeight="251660288" behindDoc="0" locked="0" layoutInCell="1" allowOverlap="1" wp14:anchorId="1133D958" wp14:editId="0D25CEED">
                <wp:simplePos x="0" y="0"/>
                <wp:positionH relativeFrom="column">
                  <wp:posOffset>18297</wp:posOffset>
                </wp:positionH>
                <wp:positionV relativeFrom="paragraph">
                  <wp:posOffset>1097384</wp:posOffset>
                </wp:positionV>
                <wp:extent cx="2195593" cy="12193"/>
                <wp:effectExtent l="0" t="0" r="0" b="0"/>
                <wp:wrapSquare wrapText="bothSides"/>
                <wp:docPr id="14480" name="Group 14480"/>
                <wp:cNvGraphicFramePr/>
                <a:graphic xmlns:a="http://schemas.openxmlformats.org/drawingml/2006/main">
                  <a:graphicData uri="http://schemas.microsoft.com/office/word/2010/wordprocessingGroup">
                    <wpg:wgp>
                      <wpg:cNvGrpSpPr/>
                      <wpg:grpSpPr>
                        <a:xfrm>
                          <a:off x="0" y="0"/>
                          <a:ext cx="2195593" cy="12193"/>
                          <a:chOff x="0" y="0"/>
                          <a:chExt cx="2195593" cy="12193"/>
                        </a:xfrm>
                      </wpg:grpSpPr>
                      <wps:wsp>
                        <wps:cNvPr id="14479" name="Shape 14479"/>
                        <wps:cNvSpPr/>
                        <wps:spPr>
                          <a:xfrm>
                            <a:off x="0" y="0"/>
                            <a:ext cx="2195593" cy="12193"/>
                          </a:xfrm>
                          <a:custGeom>
                            <a:avLst/>
                            <a:gdLst/>
                            <a:ahLst/>
                            <a:cxnLst/>
                            <a:rect l="0" t="0" r="0" b="0"/>
                            <a:pathLst>
                              <a:path w="2195593" h="12193">
                                <a:moveTo>
                                  <a:pt x="0" y="6097"/>
                                </a:moveTo>
                                <a:lnTo>
                                  <a:pt x="2195593" y="6097"/>
                                </a:lnTo>
                              </a:path>
                            </a:pathLst>
                          </a:custGeom>
                          <a:ln w="12193"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4480" style="width:172.881pt;height:0.960083pt;position:absolute;mso-position-horizontal-relative:text;mso-position-horizontal:absolute;margin-left:1.44068pt;mso-position-vertical-relative:text;margin-top:86.4082pt;" coordsize="21955,121">
                <v:shape id="Shape 14479" style="position:absolute;width:21955;height:121;left:0;top:0;" coordsize="2195593,12193" path="m0,6097l2195593,6097">
                  <v:stroke weight="0.960083pt" endcap="flat" joinstyle="miter" miterlimit="1" on="true" color="#000000"/>
                  <v:fill on="false" color="#000000"/>
                </v:shape>
                <w10:wrap type="square"/>
              </v:group>
            </w:pict>
          </mc:Fallback>
        </mc:AlternateContent>
      </w:r>
      <w:r w:rsidRPr="002815A5">
        <w:rPr>
          <w:sz w:val="24"/>
        </w:rPr>
        <w:t>Dne:</w:t>
      </w:r>
      <w:r w:rsidRPr="002815A5">
        <w:rPr>
          <w:sz w:val="24"/>
        </w:rPr>
        <w:tab/>
      </w:r>
      <w:r w:rsidR="008D1AEF">
        <w:rPr>
          <w:sz w:val="24"/>
        </w:rPr>
        <w:t>15. 11. 2022</w:t>
      </w:r>
    </w:p>
    <w:p w14:paraId="7EA2D91E" w14:textId="77777777" w:rsidR="008D1AEF" w:rsidRDefault="008D1AEF" w:rsidP="008D1AEF">
      <w:pPr>
        <w:tabs>
          <w:tab w:val="center" w:pos="5988"/>
        </w:tabs>
        <w:spacing w:after="0" w:line="261" w:lineRule="auto"/>
        <w:ind w:left="0" w:right="0" w:firstLine="0"/>
        <w:jc w:val="left"/>
        <w:rPr>
          <w:sz w:val="24"/>
        </w:rPr>
      </w:pPr>
    </w:p>
    <w:p w14:paraId="163233D2" w14:textId="77777777" w:rsidR="008D1AEF" w:rsidRDefault="008D1AEF" w:rsidP="008D1AEF">
      <w:pPr>
        <w:tabs>
          <w:tab w:val="center" w:pos="5988"/>
        </w:tabs>
        <w:spacing w:after="0" w:line="261" w:lineRule="auto"/>
        <w:ind w:left="0" w:right="0" w:firstLine="0"/>
        <w:jc w:val="left"/>
        <w:rPr>
          <w:sz w:val="24"/>
        </w:rPr>
      </w:pPr>
    </w:p>
    <w:p w14:paraId="15915962" w14:textId="77777777" w:rsidR="008D1AEF" w:rsidRDefault="008D1AEF" w:rsidP="008D1AEF">
      <w:pPr>
        <w:tabs>
          <w:tab w:val="center" w:pos="5988"/>
        </w:tabs>
        <w:spacing w:after="0" w:line="261" w:lineRule="auto"/>
        <w:ind w:left="0" w:right="0" w:firstLine="0"/>
        <w:jc w:val="left"/>
        <w:rPr>
          <w:sz w:val="24"/>
        </w:rPr>
      </w:pPr>
    </w:p>
    <w:p w14:paraId="2A7CFDF2" w14:textId="77777777" w:rsidR="008D1AEF" w:rsidRDefault="008D1AEF" w:rsidP="008D1AEF">
      <w:pPr>
        <w:tabs>
          <w:tab w:val="center" w:pos="5988"/>
        </w:tabs>
        <w:spacing w:after="0" w:line="261" w:lineRule="auto"/>
        <w:ind w:left="0" w:right="0" w:firstLine="0"/>
        <w:jc w:val="left"/>
        <w:rPr>
          <w:sz w:val="24"/>
        </w:rPr>
      </w:pPr>
    </w:p>
    <w:p w14:paraId="2B69153A" w14:textId="77777777" w:rsidR="008D1AEF" w:rsidRDefault="008D1AEF" w:rsidP="008D1AEF">
      <w:pPr>
        <w:tabs>
          <w:tab w:val="center" w:pos="5988"/>
        </w:tabs>
        <w:spacing w:after="0" w:line="261" w:lineRule="auto"/>
        <w:ind w:left="0" w:right="0" w:firstLine="0"/>
        <w:jc w:val="left"/>
        <w:rPr>
          <w:sz w:val="24"/>
        </w:rPr>
      </w:pPr>
    </w:p>
    <w:p w14:paraId="7393749F" w14:textId="18270149" w:rsidR="00EA1F86" w:rsidRDefault="00FA1B27" w:rsidP="008D1AEF">
      <w:pPr>
        <w:tabs>
          <w:tab w:val="center" w:pos="5988"/>
        </w:tabs>
        <w:spacing w:after="0" w:line="261" w:lineRule="auto"/>
        <w:ind w:left="0" w:right="0" w:firstLine="0"/>
        <w:jc w:val="left"/>
      </w:pPr>
      <w:r>
        <w:rPr>
          <w:sz w:val="24"/>
        </w:rPr>
        <w:t>Umělec</w:t>
      </w:r>
      <w:r>
        <w:rPr>
          <w:sz w:val="24"/>
        </w:rPr>
        <w:tab/>
        <w:t>Objednate</w:t>
      </w:r>
      <w:r w:rsidR="002815A5">
        <w:rPr>
          <w:sz w:val="24"/>
        </w:rPr>
        <w:t>l</w:t>
      </w:r>
    </w:p>
    <w:sectPr w:rsidR="00EA1F86">
      <w:headerReference w:type="even" r:id="rId9"/>
      <w:headerReference w:type="first" r:id="rId10"/>
      <w:pgSz w:w="11900" w:h="16840"/>
      <w:pgMar w:top="653" w:right="999" w:bottom="538" w:left="1143" w:header="643"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B2313" w14:textId="77777777" w:rsidR="00FA1B27" w:rsidRDefault="00FA1B27">
      <w:pPr>
        <w:spacing w:after="0" w:line="240" w:lineRule="auto"/>
      </w:pPr>
      <w:r>
        <w:separator/>
      </w:r>
    </w:p>
  </w:endnote>
  <w:endnote w:type="continuationSeparator" w:id="0">
    <w:p w14:paraId="228D3CC7" w14:textId="77777777" w:rsidR="00FA1B27" w:rsidRDefault="00FA1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0DCB3" w14:textId="77777777" w:rsidR="00FA1B27" w:rsidRDefault="00FA1B27">
      <w:pPr>
        <w:spacing w:after="0" w:line="240" w:lineRule="auto"/>
      </w:pPr>
      <w:r>
        <w:separator/>
      </w:r>
    </w:p>
  </w:footnote>
  <w:footnote w:type="continuationSeparator" w:id="0">
    <w:p w14:paraId="4153516D" w14:textId="77777777" w:rsidR="00FA1B27" w:rsidRDefault="00FA1B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F02CE" w14:textId="77777777" w:rsidR="00EA1F86" w:rsidRDefault="00FA1B27">
    <w:pPr>
      <w:spacing w:after="0" w:line="216" w:lineRule="auto"/>
      <w:ind w:left="3516" w:right="2910" w:hanging="10"/>
      <w:jc w:val="left"/>
    </w:pPr>
    <w:r>
      <w:rPr>
        <w:sz w:val="32"/>
      </w:rPr>
      <w:t xml:space="preserve">SYMFONICKÝ </w:t>
    </w:r>
    <w:r>
      <w:rPr>
        <w:sz w:val="40"/>
      </w:rPr>
      <w:t>ORCHESTR</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548B3" w14:textId="77777777" w:rsidR="00EA1F86" w:rsidRDefault="00FA1B27">
    <w:pPr>
      <w:spacing w:after="0" w:line="216" w:lineRule="auto"/>
      <w:ind w:left="3516" w:right="2910" w:hanging="10"/>
      <w:jc w:val="left"/>
    </w:pPr>
    <w:r>
      <w:rPr>
        <w:sz w:val="32"/>
      </w:rPr>
      <w:t xml:space="preserve">SYMFONICKÝ </w:t>
    </w:r>
    <w:r>
      <w:rPr>
        <w:sz w:val="40"/>
      </w:rPr>
      <w:t>ORCHESTR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19A1"/>
    <w:multiLevelType w:val="hybridMultilevel"/>
    <w:tmpl w:val="B55C1084"/>
    <w:lvl w:ilvl="0" w:tplc="EB2A4938">
      <w:start w:val="15"/>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B26D95E">
      <w:start w:val="1"/>
      <w:numFmt w:val="lowerLetter"/>
      <w:lvlText w:val="%2"/>
      <w:lvlJc w:val="left"/>
      <w:pPr>
        <w:ind w:left="10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51EBFAC">
      <w:start w:val="1"/>
      <w:numFmt w:val="lowerRoman"/>
      <w:lvlText w:val="%3"/>
      <w:lvlJc w:val="left"/>
      <w:pPr>
        <w:ind w:left="18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5DA1160">
      <w:start w:val="1"/>
      <w:numFmt w:val="decimal"/>
      <w:lvlText w:val="%4"/>
      <w:lvlJc w:val="left"/>
      <w:pPr>
        <w:ind w:left="25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6700492">
      <w:start w:val="1"/>
      <w:numFmt w:val="lowerLetter"/>
      <w:lvlText w:val="%5"/>
      <w:lvlJc w:val="left"/>
      <w:pPr>
        <w:ind w:left="32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456BE26">
      <w:start w:val="1"/>
      <w:numFmt w:val="lowerRoman"/>
      <w:lvlText w:val="%6"/>
      <w:lvlJc w:val="left"/>
      <w:pPr>
        <w:ind w:left="39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A09716">
      <w:start w:val="1"/>
      <w:numFmt w:val="decimal"/>
      <w:lvlText w:val="%7"/>
      <w:lvlJc w:val="left"/>
      <w:pPr>
        <w:ind w:left="46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26C934C">
      <w:start w:val="1"/>
      <w:numFmt w:val="lowerLetter"/>
      <w:lvlText w:val="%8"/>
      <w:lvlJc w:val="left"/>
      <w:pPr>
        <w:ind w:left="54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FF6D5A2">
      <w:start w:val="1"/>
      <w:numFmt w:val="lowerRoman"/>
      <w:lvlText w:val="%9"/>
      <w:lvlJc w:val="left"/>
      <w:pPr>
        <w:ind w:left="61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FC27A18"/>
    <w:multiLevelType w:val="hybridMultilevel"/>
    <w:tmpl w:val="7E1EBA1E"/>
    <w:lvl w:ilvl="0" w:tplc="9CF84E62">
      <w:start w:val="2"/>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A1E90E8">
      <w:start w:val="1"/>
      <w:numFmt w:val="lowerLetter"/>
      <w:lvlText w:val="%2"/>
      <w:lvlJc w:val="left"/>
      <w:pPr>
        <w:ind w:left="10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9EA0A14">
      <w:start w:val="1"/>
      <w:numFmt w:val="lowerRoman"/>
      <w:lvlText w:val="%3"/>
      <w:lvlJc w:val="left"/>
      <w:pPr>
        <w:ind w:left="18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97A0D5E">
      <w:start w:val="1"/>
      <w:numFmt w:val="decimal"/>
      <w:lvlText w:val="%4"/>
      <w:lvlJc w:val="left"/>
      <w:pPr>
        <w:ind w:left="25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1E20D82">
      <w:start w:val="1"/>
      <w:numFmt w:val="lowerLetter"/>
      <w:lvlText w:val="%5"/>
      <w:lvlJc w:val="left"/>
      <w:pPr>
        <w:ind w:left="32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A92AB52">
      <w:start w:val="1"/>
      <w:numFmt w:val="lowerRoman"/>
      <w:lvlText w:val="%6"/>
      <w:lvlJc w:val="left"/>
      <w:pPr>
        <w:ind w:left="39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DD6121E">
      <w:start w:val="1"/>
      <w:numFmt w:val="decimal"/>
      <w:lvlText w:val="%7"/>
      <w:lvlJc w:val="left"/>
      <w:pPr>
        <w:ind w:left="46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47EF5F0">
      <w:start w:val="1"/>
      <w:numFmt w:val="lowerLetter"/>
      <w:lvlText w:val="%8"/>
      <w:lvlJc w:val="left"/>
      <w:pPr>
        <w:ind w:left="54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28DBFA">
      <w:start w:val="1"/>
      <w:numFmt w:val="lowerRoman"/>
      <w:lvlText w:val="%9"/>
      <w:lvlJc w:val="left"/>
      <w:pPr>
        <w:ind w:left="61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65D5186"/>
    <w:multiLevelType w:val="hybridMultilevel"/>
    <w:tmpl w:val="84286918"/>
    <w:lvl w:ilvl="0" w:tplc="3A84335A">
      <w:start w:val="12"/>
      <w:numFmt w:val="decimal"/>
      <w:lvlText w:val="%1."/>
      <w:lvlJc w:val="left"/>
      <w:pPr>
        <w:ind w:left="4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95C1CD6">
      <w:start w:val="1"/>
      <w:numFmt w:val="lowerLetter"/>
      <w:lvlText w:val="%2"/>
      <w:lvlJc w:val="left"/>
      <w:pPr>
        <w:ind w:left="11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1189DD0">
      <w:start w:val="1"/>
      <w:numFmt w:val="lowerRoman"/>
      <w:lvlText w:val="%3"/>
      <w:lvlJc w:val="left"/>
      <w:pPr>
        <w:ind w:left="19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B7AD4E8">
      <w:start w:val="1"/>
      <w:numFmt w:val="decimal"/>
      <w:lvlText w:val="%4"/>
      <w:lvlJc w:val="left"/>
      <w:pPr>
        <w:ind w:left="26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84EC82C">
      <w:start w:val="1"/>
      <w:numFmt w:val="lowerLetter"/>
      <w:lvlText w:val="%5"/>
      <w:lvlJc w:val="left"/>
      <w:pPr>
        <w:ind w:left="33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514732E">
      <w:start w:val="1"/>
      <w:numFmt w:val="lowerRoman"/>
      <w:lvlText w:val="%6"/>
      <w:lvlJc w:val="left"/>
      <w:pPr>
        <w:ind w:left="40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038793A">
      <w:start w:val="1"/>
      <w:numFmt w:val="decimal"/>
      <w:lvlText w:val="%7"/>
      <w:lvlJc w:val="left"/>
      <w:pPr>
        <w:ind w:left="4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1F291D2">
      <w:start w:val="1"/>
      <w:numFmt w:val="lowerLetter"/>
      <w:lvlText w:val="%8"/>
      <w:lvlJc w:val="left"/>
      <w:pPr>
        <w:ind w:left="5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98CE97C">
      <w:start w:val="1"/>
      <w:numFmt w:val="lowerRoman"/>
      <w:lvlText w:val="%9"/>
      <w:lvlJc w:val="left"/>
      <w:pPr>
        <w:ind w:left="6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8433902"/>
    <w:multiLevelType w:val="hybridMultilevel"/>
    <w:tmpl w:val="0C66F1F0"/>
    <w:lvl w:ilvl="0" w:tplc="F7F65D10">
      <w:start w:val="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BAEF952">
      <w:start w:val="1"/>
      <w:numFmt w:val="lowerLetter"/>
      <w:lvlText w:val="%2"/>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4629D1E">
      <w:start w:val="1"/>
      <w:numFmt w:val="lowerRoman"/>
      <w:lvlText w:val="%3"/>
      <w:lvlJc w:val="left"/>
      <w:pPr>
        <w:ind w:left="1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3827482">
      <w:start w:val="1"/>
      <w:numFmt w:val="decimal"/>
      <w:lvlText w:val="%4"/>
      <w:lvlJc w:val="left"/>
      <w:pPr>
        <w:ind w:left="2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8C51C4">
      <w:start w:val="1"/>
      <w:numFmt w:val="lowerLetter"/>
      <w:lvlText w:val="%5"/>
      <w:lvlJc w:val="left"/>
      <w:pPr>
        <w:ind w:left="3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AD4F008">
      <w:start w:val="1"/>
      <w:numFmt w:val="lowerRoman"/>
      <w:lvlText w:val="%6"/>
      <w:lvlJc w:val="left"/>
      <w:pPr>
        <w:ind w:left="40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D270A2">
      <w:start w:val="1"/>
      <w:numFmt w:val="decimal"/>
      <w:lvlText w:val="%7"/>
      <w:lvlJc w:val="left"/>
      <w:pPr>
        <w:ind w:left="47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1EA5AA">
      <w:start w:val="1"/>
      <w:numFmt w:val="lowerLetter"/>
      <w:lvlText w:val="%8"/>
      <w:lvlJc w:val="left"/>
      <w:pPr>
        <w:ind w:left="5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B1C4790">
      <w:start w:val="1"/>
      <w:numFmt w:val="lowerRoman"/>
      <w:lvlText w:val="%9"/>
      <w:lvlJc w:val="left"/>
      <w:pPr>
        <w:ind w:left="61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56C2DE5"/>
    <w:multiLevelType w:val="hybridMultilevel"/>
    <w:tmpl w:val="B28E5EA0"/>
    <w:lvl w:ilvl="0" w:tplc="72C42754">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65E0C20">
      <w:start w:val="1"/>
      <w:numFmt w:val="lowerLetter"/>
      <w:lvlText w:val="%2"/>
      <w:lvlJc w:val="left"/>
      <w:pPr>
        <w:ind w:left="11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FF2854C">
      <w:start w:val="1"/>
      <w:numFmt w:val="lowerRoman"/>
      <w:lvlText w:val="%3"/>
      <w:lvlJc w:val="left"/>
      <w:pPr>
        <w:ind w:left="18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066AF1E">
      <w:start w:val="1"/>
      <w:numFmt w:val="decimal"/>
      <w:lvlText w:val="%4"/>
      <w:lvlJc w:val="left"/>
      <w:pPr>
        <w:ind w:left="26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1F00C5C">
      <w:start w:val="1"/>
      <w:numFmt w:val="lowerLetter"/>
      <w:lvlText w:val="%5"/>
      <w:lvlJc w:val="left"/>
      <w:pPr>
        <w:ind w:left="33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B708A0A">
      <w:start w:val="1"/>
      <w:numFmt w:val="lowerRoman"/>
      <w:lvlText w:val="%6"/>
      <w:lvlJc w:val="left"/>
      <w:pPr>
        <w:ind w:left="40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BDCF974">
      <w:start w:val="1"/>
      <w:numFmt w:val="decimal"/>
      <w:lvlText w:val="%7"/>
      <w:lvlJc w:val="left"/>
      <w:pPr>
        <w:ind w:left="47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46C6A9C">
      <w:start w:val="1"/>
      <w:numFmt w:val="lowerLetter"/>
      <w:lvlText w:val="%8"/>
      <w:lvlJc w:val="left"/>
      <w:pPr>
        <w:ind w:left="54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20616DC">
      <w:start w:val="1"/>
      <w:numFmt w:val="lowerRoman"/>
      <w:lvlText w:val="%9"/>
      <w:lvlJc w:val="left"/>
      <w:pPr>
        <w:ind w:left="62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F86"/>
    <w:rsid w:val="00016D58"/>
    <w:rsid w:val="002815A5"/>
    <w:rsid w:val="008D1AEF"/>
    <w:rsid w:val="00EA1F86"/>
    <w:rsid w:val="00F878DD"/>
    <w:rsid w:val="00FA1B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F3883"/>
  <w15:docId w15:val="{8C9B8103-276F-40C2-BEEB-82DE27A98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5" w:line="237" w:lineRule="auto"/>
      <w:ind w:left="375" w:right="106" w:hanging="346"/>
      <w:jc w:val="both"/>
    </w:pPr>
    <w:rPr>
      <w:rFonts w:ascii="Times New Roman" w:eastAsia="Times New Roman" w:hAnsi="Times New Roman" w:cs="Times New Roman"/>
      <w:color w:val="000000"/>
      <w:sz w:val="20"/>
    </w:rPr>
  </w:style>
  <w:style w:type="paragraph" w:styleId="Nadpis1">
    <w:name w:val="heading 1"/>
    <w:next w:val="Normln"/>
    <w:link w:val="Nadpis1Char"/>
    <w:uiPriority w:val="9"/>
    <w:qFormat/>
    <w:pPr>
      <w:keepNext/>
      <w:keepLines/>
      <w:spacing w:after="0"/>
      <w:ind w:left="3496" w:right="3621"/>
      <w:jc w:val="center"/>
      <w:outlineLvl w:val="0"/>
    </w:pPr>
    <w:rPr>
      <w:rFonts w:ascii="Times New Roman" w:eastAsia="Times New Roman" w:hAnsi="Times New Roman" w:cs="Times New Roman"/>
      <w:color w:val="000000"/>
      <w:sz w:val="3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pat">
    <w:name w:val="footer"/>
    <w:basedOn w:val="Normln"/>
    <w:link w:val="ZpatChar"/>
    <w:uiPriority w:val="99"/>
    <w:unhideWhenUsed/>
    <w:rsid w:val="00016D58"/>
    <w:pPr>
      <w:tabs>
        <w:tab w:val="center" w:pos="4536"/>
        <w:tab w:val="right" w:pos="9072"/>
      </w:tabs>
      <w:spacing w:after="0" w:line="240" w:lineRule="auto"/>
    </w:pPr>
  </w:style>
  <w:style w:type="character" w:customStyle="1" w:styleId="ZpatChar">
    <w:name w:val="Zápatí Char"/>
    <w:basedOn w:val="Standardnpsmoodstavce"/>
    <w:link w:val="Zpat"/>
    <w:uiPriority w:val="99"/>
    <w:rsid w:val="00016D58"/>
    <w:rPr>
      <w:rFonts w:ascii="Times New Roman" w:eastAsia="Times New Roman" w:hAnsi="Times New Roman" w:cs="Times New Roman"/>
      <w:color w:val="000000"/>
      <w:sz w:val="20"/>
    </w:rPr>
  </w:style>
  <w:style w:type="paragraph" w:styleId="Zhlav">
    <w:name w:val="header"/>
    <w:basedOn w:val="Normln"/>
    <w:link w:val="ZhlavChar"/>
    <w:uiPriority w:val="99"/>
    <w:semiHidden/>
    <w:unhideWhenUsed/>
    <w:rsid w:val="00016D5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016D58"/>
    <w:rPr>
      <w:rFonts w:ascii="Times New Roman" w:eastAsia="Times New Roman" w:hAnsi="Times New Roman" w:cs="Times New Roman"/>
      <w:color w:val="000000"/>
      <w:sz w:val="20"/>
    </w:rPr>
  </w:style>
  <w:style w:type="paragraph" w:styleId="Odstavecseseznamem">
    <w:name w:val="List Paragraph"/>
    <w:basedOn w:val="Normln"/>
    <w:uiPriority w:val="34"/>
    <w:qFormat/>
    <w:rsid w:val="00016D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1128</Words>
  <Characters>6656</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Hurtíková Jitka</dc:creator>
  <cp:keywords/>
  <cp:lastModifiedBy>Šrůmová Hana</cp:lastModifiedBy>
  <cp:revision>2</cp:revision>
  <dcterms:created xsi:type="dcterms:W3CDTF">2022-11-28T07:05:00Z</dcterms:created>
  <dcterms:modified xsi:type="dcterms:W3CDTF">2022-11-28T07:05:00Z</dcterms:modified>
</cp:coreProperties>
</file>