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010" w:left="0" w:right="0" w:bottom="942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1 k SMLOUVĚ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zajištění výkonu technického dozoru stavebníka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staveništi „Úspora energií administrativní budovy v areálu KSÚSV v Pelhřimově", ze dne 4. 3. 2022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05"/>
        <w:ind w:left="0" w:right="6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 048/2022 - KSÚSV Číslo smlouvy zhotovitele: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74"/>
        <w:ind w:left="0" w:right="70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  <w:br/>
        <w:t>Smluvní strany</w:t>
      </w:r>
      <w:bookmarkEnd w:id="1"/>
    </w:p>
    <w:p>
      <w:pPr>
        <w:pStyle w:val="Style11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 01 Jihlava</w:t>
      </w:r>
    </w:p>
    <w:p>
      <w:pPr>
        <w:pStyle w:val="Style11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Necidem, ředitelem organizace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5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Osoby pověřené jednat jménem objednatele ve věcech smluvních: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8" w:line="288" w:lineRule="exact"/>
        <w:ind w:left="0" w:right="0" w:firstLine="0"/>
      </w:pPr>
      <w:r>
        <w:rPr>
          <w:rStyle w:val="CharStyle18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„Objednatel")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176" w:line="19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  <w:bookmarkEnd w:id="2"/>
    </w:p>
    <w:p>
      <w:pPr>
        <w:pStyle w:val="Style15"/>
        <w:tabs>
          <w:tab w:leader="none" w:pos="209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88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  <w:tab/>
        <w:t>Ladislav Bacil</w:t>
      </w:r>
      <w:bookmarkEnd w:id="3"/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Pod Baštou 40, 391 43 Mladá Vožice</w:t>
      </w:r>
    </w:p>
    <w:p>
      <w:pPr>
        <w:pStyle w:val="Style11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rStyle w:val="CharStyle18"/>
          <w:b w:val="0"/>
          <w:bCs w:val="0"/>
        </w:rPr>
        <w:t>zastoupený: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Ladislavem Bacilem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—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55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Osoby pověřené jednat jménem zhotovitele ve věcech smluvních</w:t>
      </w:r>
    </w:p>
    <w:p>
      <w:pPr>
        <w:pStyle w:val="Style3"/>
        <w:tabs>
          <w:tab w:leader="none" w:pos="20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47616253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19"/>
        </w:rPr>
        <w:t>,,TDS“)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98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20"/>
        </w:rPr>
        <w:t>„Smluvnístrany"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nebo jednotlivě </w:t>
      </w:r>
      <w:r>
        <w:rPr>
          <w:rStyle w:val="CharStyle20"/>
        </w:rPr>
        <w:t>„Smluvnístrana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190" w:lineRule="exact"/>
        <w:ind w:left="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1" w:line="190" w:lineRule="exact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</w:p>
    <w:p>
      <w:pPr>
        <w:pStyle w:val="Style3"/>
        <w:numPr>
          <w:ilvl w:val="0"/>
          <w:numId w:val="1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 na tomto Dodatku č. 1 z důvodu nutnosti většího počtu návštěv TDS na staveništi a s tím spojeného zpracování dokumentace v kanceláři oproti předpokládanému rozsahu hodin dle Kalkulace odměny TDS uvedené v Příloze č. 1 Smlouvy o zajištění výkonu technického dozoru stavebníka na staveništi č. objednatele 048/2022-KSÚSV ze dne 4. 3. 2022.</w:t>
      </w:r>
    </w:p>
    <w:p>
      <w:pPr>
        <w:pStyle w:val="Style3"/>
        <w:numPr>
          <w:ilvl w:val="0"/>
          <w:numId w:val="1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této souvislosti se navyšuje počet hodin TDS takto:</w:t>
      </w:r>
    </w:p>
    <w:p>
      <w:pPr>
        <w:pStyle w:val="Style3"/>
        <w:numPr>
          <w:ilvl w:val="0"/>
          <w:numId w:val="3"/>
        </w:numPr>
        <w:tabs>
          <w:tab w:leader="none" w:pos="8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Práce spojené s výkonem TDS v kanceláři (bez nároku na cestovné)</w:t>
        <w:tab/>
        <w:t>+ 8 hodin</w:t>
      </w:r>
    </w:p>
    <w:p>
      <w:pPr>
        <w:pStyle w:val="Style3"/>
        <w:numPr>
          <w:ilvl w:val="0"/>
          <w:numId w:val="3"/>
        </w:numPr>
        <w:tabs>
          <w:tab w:leader="none" w:pos="8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9" w:line="226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Práce spojené s výkonem TDS na staveništi (včetně cestovného)</w:t>
        <w:tab/>
        <w:t>+ 21 hodin</w:t>
      </w:r>
    </w:p>
    <w:p>
      <w:pPr>
        <w:pStyle w:val="Style3"/>
        <w:numPr>
          <w:ilvl w:val="0"/>
          <w:numId w:val="1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4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navýšením počtu hodin výkonu TDS dochází k navýšení celkové ceny díla dle cen uvedených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 z 2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odst. 5.1. b) Výkon TDS - práce spojené s prováděním stavby, takto:</w:t>
      </w:r>
    </w:p>
    <w:p>
      <w:pPr>
        <w:pStyle w:val="Style11"/>
        <w:tabs>
          <w:tab w:leader="none" w:pos="7589" w:val="right"/>
          <w:tab w:leader="none" w:pos="7920" w:val="center"/>
          <w:tab w:leader="none" w:pos="8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Původní cena díla bez DPH</w:t>
        <w:tab/>
        <w:t>91</w:t>
        <w:tab/>
        <w:t>580,00</w:t>
        <w:tab/>
        <w:t>Kč</w:t>
      </w:r>
    </w:p>
    <w:p>
      <w:pPr>
        <w:pStyle w:val="Style3"/>
        <w:tabs>
          <w:tab w:leader="none" w:pos="7589" w:val="right"/>
          <w:tab w:leader="none" w:pos="7920" w:val="center"/>
          <w:tab w:leader="none" w:pos="8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Vícepráce: a) práce spojené s výkonem TDS v kanceláři</w:t>
        <w:tab/>
        <w:t>7</w:t>
        <w:tab/>
        <w:t>600,00</w:t>
        <w:tab/>
        <w:t>Kč</w:t>
      </w:r>
    </w:p>
    <w:p>
      <w:pPr>
        <w:pStyle w:val="Style3"/>
        <w:tabs>
          <w:tab w:leader="underscore" w:pos="7589" w:val="right"/>
          <w:tab w:leader="none" w:pos="7920" w:val="center"/>
          <w:tab w:leader="none" w:pos="8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760" w:right="0" w:firstLine="0"/>
      </w:pPr>
      <w:r>
        <w:rPr>
          <w:rStyle w:val="CharStyle22"/>
        </w:rPr>
        <w:t>Vícepráce: bj práce spojené s výkonem TDS na staveništi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22"/>
        </w:rPr>
        <w:t>23</w:t>
        <w:tab/>
        <w:t>940,00</w:t>
        <w:tab/>
        <w:t>Kč</w:t>
      </w:r>
    </w:p>
    <w:p>
      <w:pPr>
        <w:pStyle w:val="Style11"/>
        <w:tabs>
          <w:tab w:leader="none" w:pos="7589" w:val="right"/>
          <w:tab w:leader="none" w:pos="7920" w:val="center"/>
          <w:tab w:leader="none" w:pos="8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1 bez DPH</w:t>
        <w:tab/>
        <w:t>123</w:t>
        <w:tab/>
        <w:t>120,00</w:t>
        <w:tab/>
        <w:t>Kč</w:t>
      </w:r>
    </w:p>
    <w:p>
      <w:pPr>
        <w:pStyle w:val="Style3"/>
        <w:tabs>
          <w:tab w:leader="none" w:pos="7589" w:val="right"/>
          <w:tab w:leader="none" w:pos="7920" w:val="center"/>
          <w:tab w:leader="none" w:pos="8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21%</w:t>
        <w:tab/>
        <w:t>25</w:t>
        <w:tab/>
        <w:t>855,20</w:t>
        <w:tab/>
        <w:t>Kč</w:t>
      </w:r>
    </w:p>
    <w:p>
      <w:pPr>
        <w:pStyle w:val="Style11"/>
        <w:tabs>
          <w:tab w:leader="none" w:pos="7589" w:val="right"/>
          <w:tab w:leader="none" w:pos="7920" w:val="center"/>
          <w:tab w:leader="none" w:pos="852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včetně DPH</w:t>
        <w:tab/>
        <w:t>148</w:t>
        <w:tab/>
        <w:t>975,20</w:t>
        <w:tab/>
        <w:t>Kč</w:t>
      </w:r>
    </w:p>
    <w:p>
      <w:pPr>
        <w:pStyle w:val="Style3"/>
        <w:numPr>
          <w:ilvl w:val="0"/>
          <w:numId w:val="1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12" w:line="3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Ostatní ujednání Smlouvy nedotčené </w:t>
      </w:r>
      <w:r>
        <w:rPr>
          <w:rStyle w:val="CharStyle19"/>
        </w:rPr>
        <w:t xml:space="preserve">Dodatkem č. 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zůstávají v platnosti v původním znění.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152"/>
        <w:ind w:left="0" w:right="2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  <w:bookmarkEnd w:id="5"/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stávající smlouvy.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elektronické podobě, přičemž obě smluvní strany obdrží její elektronický originál.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22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</w:t>
      </w:r>
      <w:r>
        <w:rPr>
          <w:rStyle w:val="CharStyle19"/>
        </w:rPr>
        <w:t xml:space="preserve">1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 </w:t>
      </w:r>
      <w:r>
        <w:rPr>
          <w:rStyle w:val="CharStyle23"/>
        </w:rPr>
        <w:t>účinný</w:t>
      </w:r>
      <w:r>
        <w:rPr>
          <w:rStyle w:val="CharStyle19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dnem jejího uveřejnění v registru smluv.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3"/>
        <w:numPr>
          <w:ilvl w:val="0"/>
          <w:numId w:val="5"/>
        </w:numPr>
        <w:tabs>
          <w:tab w:leader="none" w:pos="7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1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796" w:line="190" w:lineRule="exact"/>
        <w:ind w:left="0" w:right="0" w:firstLine="0"/>
      </w:pPr>
      <w:r>
        <w:pict>
          <v:shape id="_x0000_s1027" type="#_x0000_t202" style="position:absolute;margin-left:281.75pt;margin-top:-0.15pt;width:114.7pt;height:12.4pt;z-index:-125829376;mso-wrap-distance-left:100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Jihlavě, dne: viz podpis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Mladé Vožici, dne: viz podpis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pict>
          <v:shape id="_x0000_s1028" type="#_x0000_t202" style="position:absolute;margin-left:74.4pt;margin-top:-1.3pt;width:50.4pt;height:21.1pt;z-index:-125829375;mso-wrap-distance-left:5.pt;mso-wrap-distance-right:158.9pt;mso-wrap-distance-bottom:5.4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82" w:lineRule="exact"/>
                    <w:ind w:left="20" w:right="0" w:firstLine="0"/>
                  </w:pPr>
                  <w:r>
                    <w:rPr>
                      <w:rStyle w:val="CharStyle6"/>
                    </w:rPr>
                    <w:t>Ladislav Bacil</w:t>
                    <w:br/>
                    <w:t>jednatel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78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2</w:t>
      </w:r>
    </w:p>
    <w:sectPr>
      <w:type w:val="continuous"/>
      <w:pgSz w:w="12240" w:h="15840"/>
      <w:pgMar w:top="1010" w:left="1158" w:right="733" w:bottom="94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9.95pt;margin-top:749.4pt;width:208.1pt;height:17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Dodatek č. 1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k Smlouvě o zajištění výkonu TDS č. 048/2022 - KSÚSV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Základní text (4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">
    <w:name w:val="Nadpis #1_"/>
    <w:basedOn w:val="DefaultParagraphFont"/>
    <w:link w:val="Style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Záhlaví nebo Zápatí_"/>
    <w:basedOn w:val="DefaultParagraphFont"/>
    <w:link w:val="Style9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2">
    <w:name w:val="Základní text (9)_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">
    <w:name w:val="Základní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6">
    <w:name w:val="Nadpis #2 (2)_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8">
    <w:name w:val="Základní text (9) + Ne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9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0">
    <w:name w:val="Základní text (2) + Tučné,Kurzíva"/>
    <w:basedOn w:val="CharStyle17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1">
    <w:name w:val="Základní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2">
    <w:name w:val="Základní text (2)"/>
    <w:basedOn w:val="CharStyle1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3">
    <w:name w:val="Základní text (2) + Tučné"/>
    <w:basedOn w:val="CharStyle17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17"/>
    <w:pPr>
      <w:widowControl w:val="0"/>
      <w:shd w:val="clear" w:color="auto" w:fill="FFFFFF"/>
      <w:jc w:val="center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Základní text (4)"/>
    <w:basedOn w:val="Normal"/>
    <w:link w:val="CharStyle21"/>
    <w:pPr>
      <w:widowControl w:val="0"/>
      <w:shd w:val="clear" w:color="auto" w:fill="FFFFFF"/>
      <w:jc w:val="right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jc w:val="center"/>
      <w:outlineLvl w:val="0"/>
      <w:spacing w:line="355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Záhlaví nebo Zápatí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">
    <w:name w:val="Základní text (9)"/>
    <w:basedOn w:val="Normal"/>
    <w:link w:val="CharStyle12"/>
    <w:pPr>
      <w:widowControl w:val="0"/>
      <w:shd w:val="clear" w:color="auto" w:fill="FFFFFF"/>
      <w:jc w:val="center"/>
      <w:spacing w:line="355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after="420" w:line="211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5">
    <w:name w:val="Nadpis #2 (2)"/>
    <w:basedOn w:val="Normal"/>
    <w:link w:val="CharStyle16"/>
    <w:pPr>
      <w:widowControl w:val="0"/>
      <w:shd w:val="clear" w:color="auto" w:fill="FFFFFF"/>
      <w:jc w:val="center"/>
      <w:outlineLvl w:val="1"/>
      <w:spacing w:before="420" w:after="120"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